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78" w:rsidRPr="003062E0" w:rsidRDefault="007E3E8A" w:rsidP="007E3E8A">
      <w:pPr>
        <w:pStyle w:val="Odsekzoznamu"/>
        <w:spacing w:after="240"/>
        <w:ind w:left="0"/>
        <w:jc w:val="both"/>
        <w:rPr>
          <w:b/>
          <w:noProof/>
        </w:rPr>
      </w:pPr>
      <w:r>
        <w:rPr>
          <w:b/>
          <w:noProof/>
        </w:rPr>
        <w:t>8</w:t>
      </w:r>
      <w:bookmarkStart w:id="0" w:name="_GoBack"/>
      <w:bookmarkEnd w:id="0"/>
      <w:r w:rsidR="003062E0">
        <w:rPr>
          <w:b/>
          <w:noProof/>
        </w:rPr>
        <w:tab/>
      </w:r>
      <w:r w:rsidR="00361478" w:rsidRPr="003062E0">
        <w:rPr>
          <w:b/>
          <w:noProof/>
        </w:rPr>
        <w:t>Documents needed to be submitted for accepting the application for the registration of EU citizen</w:t>
      </w:r>
    </w:p>
    <w:p w:rsidR="00361478" w:rsidRPr="003062E0" w:rsidRDefault="00361478" w:rsidP="00361478">
      <w:pPr>
        <w:pStyle w:val="Odsekzoznamu"/>
        <w:tabs>
          <w:tab w:val="left" w:pos="1134"/>
        </w:tabs>
        <w:spacing w:after="240"/>
        <w:ind w:left="0"/>
        <w:jc w:val="both"/>
        <w:rPr>
          <w:b/>
          <w:caps/>
          <w:noProof/>
        </w:rPr>
      </w:pPr>
    </w:p>
    <w:p w:rsidR="00361478" w:rsidRPr="00361478" w:rsidRDefault="003062E0" w:rsidP="00361478">
      <w:pPr>
        <w:pStyle w:val="Odsekzoznamu"/>
        <w:numPr>
          <w:ilvl w:val="0"/>
          <w:numId w:val="6"/>
        </w:numPr>
        <w:spacing w:after="240"/>
        <w:jc w:val="both"/>
        <w:rPr>
          <w:noProof/>
        </w:rPr>
      </w:pPr>
      <w:r>
        <w:rPr>
          <w:noProof/>
        </w:rPr>
        <w:t xml:space="preserve">A </w:t>
      </w:r>
      <w:r w:rsidR="00361478" w:rsidRPr="00361478">
        <w:rPr>
          <w:noProof/>
        </w:rPr>
        <w:t>v</w:t>
      </w:r>
      <w:r w:rsidR="007558F0">
        <w:rPr>
          <w:noProof/>
        </w:rPr>
        <w:t>alid travel document or valid identity document</w:t>
      </w:r>
      <w:r w:rsidR="00361478" w:rsidRPr="00361478">
        <w:rPr>
          <w:noProof/>
        </w:rPr>
        <w:t xml:space="preserve"> or other reliable document which confirms the identity and nationality, </w:t>
      </w:r>
      <w:r w:rsidR="007558F0">
        <w:rPr>
          <w:noProof/>
        </w:rPr>
        <w:t>(</w:t>
      </w:r>
      <w:r w:rsidR="00361478" w:rsidRPr="00361478">
        <w:rPr>
          <w:noProof/>
        </w:rPr>
        <w:t>e.g. driving licence together with certificate of birth)</w:t>
      </w:r>
    </w:p>
    <w:p w:rsidR="00361478" w:rsidRPr="00361478" w:rsidRDefault="00361478" w:rsidP="00361478">
      <w:pPr>
        <w:spacing w:after="240"/>
        <w:ind w:left="426" w:hanging="426"/>
        <w:jc w:val="both"/>
        <w:rPr>
          <w:noProof/>
        </w:rPr>
      </w:pPr>
    </w:p>
    <w:p w:rsidR="00361478" w:rsidRPr="00361478" w:rsidRDefault="00361478" w:rsidP="00361478">
      <w:pPr>
        <w:spacing w:after="240"/>
        <w:jc w:val="both"/>
        <w:rPr>
          <w:noProof/>
        </w:rPr>
      </w:pPr>
      <w:r w:rsidRPr="00361478">
        <w:rPr>
          <w:b/>
          <w:noProof/>
        </w:rPr>
        <w:t xml:space="preserve">EU citizen who is employed in the Slovak </w:t>
      </w:r>
      <w:r w:rsidR="007558F0">
        <w:rPr>
          <w:b/>
          <w:noProof/>
        </w:rPr>
        <w:t>republic (Art. 66</w:t>
      </w:r>
      <w:r w:rsidR="003F5C0C">
        <w:rPr>
          <w:b/>
          <w:noProof/>
        </w:rPr>
        <w:t xml:space="preserve"> par. </w:t>
      </w:r>
      <w:r w:rsidR="007558F0">
        <w:rPr>
          <w:b/>
          <w:noProof/>
        </w:rPr>
        <w:t>2 of Act on Residence of Foreigners</w:t>
      </w:r>
      <w:r w:rsidRPr="00361478">
        <w:rPr>
          <w:b/>
          <w:noProof/>
        </w:rPr>
        <w:t>)</w:t>
      </w:r>
      <w:r w:rsidRPr="00361478">
        <w:rPr>
          <w:noProof/>
        </w:rPr>
        <w:t xml:space="preserve"> </w:t>
      </w:r>
    </w:p>
    <w:p w:rsidR="00361478" w:rsidRPr="00361478" w:rsidRDefault="003062E0" w:rsidP="00361478">
      <w:pPr>
        <w:pStyle w:val="Odsekzoznamu"/>
        <w:numPr>
          <w:ilvl w:val="0"/>
          <w:numId w:val="6"/>
        </w:numPr>
        <w:spacing w:after="240"/>
        <w:jc w:val="both"/>
        <w:rPr>
          <w:noProof/>
        </w:rPr>
      </w:pPr>
      <w:r>
        <w:rPr>
          <w:noProof/>
        </w:rPr>
        <w:t xml:space="preserve">a </w:t>
      </w:r>
      <w:r w:rsidR="00361478" w:rsidRPr="00361478">
        <w:rPr>
          <w:noProof/>
        </w:rPr>
        <w:t xml:space="preserve">written promise of employer or </w:t>
      </w:r>
      <w:r w:rsidR="007558F0">
        <w:rPr>
          <w:noProof/>
        </w:rPr>
        <w:t>confirmation of employer on recruitment to work.</w:t>
      </w:r>
    </w:p>
    <w:p w:rsidR="00361478" w:rsidRPr="00361478" w:rsidRDefault="00361478" w:rsidP="00361478">
      <w:pPr>
        <w:spacing w:after="240"/>
        <w:jc w:val="both"/>
        <w:rPr>
          <w:noProof/>
        </w:rPr>
      </w:pPr>
    </w:p>
    <w:p w:rsidR="00361478" w:rsidRPr="00361478" w:rsidRDefault="00361478" w:rsidP="00361478">
      <w:pPr>
        <w:spacing w:after="240"/>
        <w:jc w:val="both"/>
        <w:rPr>
          <w:noProof/>
        </w:rPr>
      </w:pPr>
      <w:r w:rsidRPr="00361478">
        <w:rPr>
          <w:b/>
          <w:noProof/>
        </w:rPr>
        <w:t>EU citizen who is self</w:t>
      </w:r>
      <w:r w:rsidR="007558F0">
        <w:rPr>
          <w:b/>
          <w:noProof/>
        </w:rPr>
        <w:t xml:space="preserve">-employed person in the territory </w:t>
      </w:r>
      <w:r w:rsidR="003F5C0C">
        <w:rPr>
          <w:b/>
          <w:noProof/>
        </w:rPr>
        <w:t xml:space="preserve">of the Slovak Republic (Art. 66 par. </w:t>
      </w:r>
      <w:r w:rsidR="007558F0">
        <w:rPr>
          <w:b/>
          <w:noProof/>
        </w:rPr>
        <w:t>3 of Act on Residence of Foreigners</w:t>
      </w:r>
      <w:r w:rsidRPr="00361478">
        <w:rPr>
          <w:b/>
          <w:noProof/>
        </w:rPr>
        <w:t>)</w:t>
      </w:r>
    </w:p>
    <w:p w:rsidR="00361478" w:rsidRPr="00361478" w:rsidRDefault="003062E0" w:rsidP="00361478">
      <w:pPr>
        <w:pStyle w:val="Odsekzoznamu"/>
        <w:numPr>
          <w:ilvl w:val="0"/>
          <w:numId w:val="6"/>
        </w:numPr>
        <w:spacing w:after="240"/>
        <w:jc w:val="both"/>
        <w:rPr>
          <w:noProof/>
        </w:rPr>
      </w:pPr>
      <w:r>
        <w:rPr>
          <w:noProof/>
        </w:rPr>
        <w:t xml:space="preserve">a </w:t>
      </w:r>
      <w:r w:rsidR="00361478" w:rsidRPr="00361478">
        <w:rPr>
          <w:noProof/>
        </w:rPr>
        <w:t>document whic</w:t>
      </w:r>
      <w:r w:rsidR="007558F0">
        <w:rPr>
          <w:noProof/>
        </w:rPr>
        <w:t>h confirms that he/she is self-e</w:t>
      </w:r>
      <w:r w:rsidR="00361478" w:rsidRPr="00361478">
        <w:rPr>
          <w:noProof/>
        </w:rPr>
        <w:t xml:space="preserve">mployed person </w:t>
      </w:r>
      <w:r w:rsidR="007558F0">
        <w:rPr>
          <w:noProof/>
        </w:rPr>
        <w:t>(e. g. business licence, Abstract of the Companies Register).</w:t>
      </w:r>
    </w:p>
    <w:p w:rsidR="007558F0" w:rsidRDefault="007558F0" w:rsidP="00361478">
      <w:pPr>
        <w:spacing w:after="240"/>
        <w:jc w:val="both"/>
        <w:rPr>
          <w:b/>
          <w:noProof/>
        </w:rPr>
      </w:pPr>
    </w:p>
    <w:p w:rsidR="00361478" w:rsidRPr="00361478" w:rsidRDefault="00361478" w:rsidP="00361478">
      <w:pPr>
        <w:spacing w:after="240"/>
        <w:jc w:val="both"/>
        <w:rPr>
          <w:noProof/>
        </w:rPr>
      </w:pPr>
      <w:r w:rsidRPr="00361478">
        <w:rPr>
          <w:b/>
          <w:noProof/>
        </w:rPr>
        <w:t>EU citizen who has sufficient resources for him/herself and his/her family members so that she/he would not become a person in material need during his/her residence period and a document of health insurance</w:t>
      </w:r>
      <w:r w:rsidR="00DA0EC8">
        <w:rPr>
          <w:b/>
          <w:noProof/>
        </w:rPr>
        <w:t xml:space="preserve"> in the territory </w:t>
      </w:r>
      <w:r w:rsidR="003F5C0C">
        <w:rPr>
          <w:b/>
          <w:noProof/>
        </w:rPr>
        <w:t xml:space="preserve">of the Slovak Republic (Art. 66 par. </w:t>
      </w:r>
      <w:r w:rsidR="00DA0EC8">
        <w:rPr>
          <w:b/>
          <w:noProof/>
        </w:rPr>
        <w:t>4 of Act on Residence of Foreigners</w:t>
      </w:r>
      <w:r w:rsidRPr="00361478">
        <w:rPr>
          <w:b/>
          <w:noProof/>
        </w:rPr>
        <w:t>)</w:t>
      </w:r>
    </w:p>
    <w:p w:rsidR="00361478" w:rsidRPr="00361478" w:rsidRDefault="003F5C0C" w:rsidP="00361478">
      <w:pPr>
        <w:pStyle w:val="Odsekzoznamu"/>
        <w:numPr>
          <w:ilvl w:val="0"/>
          <w:numId w:val="6"/>
        </w:numPr>
        <w:spacing w:after="240"/>
        <w:jc w:val="both"/>
        <w:rPr>
          <w:noProof/>
        </w:rPr>
      </w:pPr>
      <w:r>
        <w:rPr>
          <w:rFonts w:eastAsiaTheme="minorHAnsi"/>
          <w:noProof/>
          <w:color w:val="000000"/>
          <w:lang w:eastAsia="en-US"/>
        </w:rPr>
        <w:t xml:space="preserve">a </w:t>
      </w:r>
      <w:r w:rsidR="00361478" w:rsidRPr="00361478">
        <w:rPr>
          <w:rFonts w:eastAsiaTheme="minorHAnsi"/>
          <w:noProof/>
          <w:color w:val="000000"/>
          <w:lang w:eastAsia="en-US"/>
        </w:rPr>
        <w:t>document which confirms that s/he has sufficient resources for him/herself and his/her family members so that she/he would not become a person in material need during his/her residence period (e.g. cash, t</w:t>
      </w:r>
      <w:r w:rsidR="00DA0EC8">
        <w:rPr>
          <w:rFonts w:eastAsiaTheme="minorHAnsi"/>
          <w:noProof/>
          <w:color w:val="000000"/>
          <w:lang w:eastAsia="en-US"/>
        </w:rPr>
        <w:t xml:space="preserve">ravel checques, credit cards, acount statements, documents on ownership) and a document </w:t>
      </w:r>
      <w:r>
        <w:rPr>
          <w:rFonts w:eastAsiaTheme="minorHAnsi"/>
          <w:noProof/>
          <w:color w:val="000000"/>
          <w:lang w:eastAsia="en-US"/>
        </w:rPr>
        <w:t>of</w:t>
      </w:r>
      <w:r w:rsidR="00361478" w:rsidRPr="00361478">
        <w:rPr>
          <w:rFonts w:eastAsiaTheme="minorHAnsi"/>
          <w:noProof/>
          <w:color w:val="000000"/>
          <w:lang w:eastAsia="en-US"/>
        </w:rPr>
        <w:t xml:space="preserve"> health insurance.</w:t>
      </w:r>
    </w:p>
    <w:p w:rsidR="00361478" w:rsidRPr="00361478" w:rsidRDefault="00361478" w:rsidP="00361478">
      <w:pPr>
        <w:spacing w:after="240"/>
        <w:jc w:val="both"/>
        <w:rPr>
          <w:noProof/>
        </w:rPr>
      </w:pPr>
    </w:p>
    <w:p w:rsidR="00361478" w:rsidRPr="00361478" w:rsidRDefault="00361478" w:rsidP="00361478">
      <w:pPr>
        <w:spacing w:after="240"/>
        <w:jc w:val="both"/>
        <w:rPr>
          <w:noProof/>
        </w:rPr>
      </w:pPr>
      <w:r w:rsidRPr="00361478">
        <w:rPr>
          <w:b/>
          <w:noProof/>
        </w:rPr>
        <w:t>EU citizen who studies at a prima</w:t>
      </w:r>
      <w:r w:rsidR="00DA0EC8">
        <w:rPr>
          <w:b/>
          <w:noProof/>
        </w:rPr>
        <w:t>ry school, secondary school or University in the Slovak Republic (Art. 66</w:t>
      </w:r>
      <w:r w:rsidR="003F5C0C">
        <w:rPr>
          <w:b/>
          <w:noProof/>
        </w:rPr>
        <w:t xml:space="preserve"> par. </w:t>
      </w:r>
      <w:r w:rsidR="00DA0EC8">
        <w:rPr>
          <w:b/>
          <w:noProof/>
        </w:rPr>
        <w:t>5 of Act on Residence of Foreigners</w:t>
      </w:r>
      <w:r w:rsidRPr="00361478">
        <w:rPr>
          <w:b/>
          <w:noProof/>
        </w:rPr>
        <w:t>)</w:t>
      </w:r>
    </w:p>
    <w:p w:rsidR="00361478" w:rsidRPr="00151DE5" w:rsidRDefault="003F5C0C" w:rsidP="00361478">
      <w:pPr>
        <w:pStyle w:val="Odsekzoznamu"/>
        <w:numPr>
          <w:ilvl w:val="0"/>
          <w:numId w:val="6"/>
        </w:numPr>
        <w:spacing w:after="240"/>
        <w:jc w:val="both"/>
        <w:rPr>
          <w:b/>
          <w:noProof/>
        </w:rPr>
      </w:pPr>
      <w:r>
        <w:rPr>
          <w:noProof/>
        </w:rPr>
        <w:t xml:space="preserve">a </w:t>
      </w:r>
      <w:r w:rsidR="00361478" w:rsidRPr="00361478">
        <w:rPr>
          <w:noProof/>
        </w:rPr>
        <w:t>document which confirms that he/she studies at a prima</w:t>
      </w:r>
      <w:r w:rsidR="00DA0EC8">
        <w:rPr>
          <w:noProof/>
        </w:rPr>
        <w:t>ry school, secondary school or University in the Slovak R</w:t>
      </w:r>
      <w:r w:rsidR="00361478" w:rsidRPr="00361478">
        <w:rPr>
          <w:noProof/>
        </w:rPr>
        <w:t xml:space="preserve">epublic (e.g. confirmation from the competent </w:t>
      </w:r>
      <w:r w:rsidR="00DA0EC8">
        <w:rPr>
          <w:noProof/>
        </w:rPr>
        <w:t>public authority, e. g. Ministry of Education or confirmation from the school on</w:t>
      </w:r>
      <w:r w:rsidR="00361478" w:rsidRPr="00361478">
        <w:rPr>
          <w:noProof/>
        </w:rPr>
        <w:t xml:space="preserve"> acceptance of the EU citizen for studies</w:t>
      </w:r>
      <w:r w:rsidR="00151DE5">
        <w:rPr>
          <w:noProof/>
        </w:rPr>
        <w:t>, e. g. confirmation issued by primary school, secondary school or University on acceptance for study issued by statutory body of the school, e. g. director of the school, his/her deputy, dean or deputy dean of faculties</w:t>
      </w:r>
      <w:r w:rsidR="00361478" w:rsidRPr="00361478">
        <w:rPr>
          <w:noProof/>
        </w:rPr>
        <w:t>)</w:t>
      </w:r>
      <w:r w:rsidR="00151DE5">
        <w:rPr>
          <w:noProof/>
        </w:rPr>
        <w:t xml:space="preserve"> </w:t>
      </w:r>
      <w:r w:rsidR="00151DE5" w:rsidRPr="00151DE5">
        <w:rPr>
          <w:b/>
          <w:noProof/>
        </w:rPr>
        <w:t xml:space="preserve">and </w:t>
      </w:r>
    </w:p>
    <w:p w:rsidR="00151DE5" w:rsidRPr="00361478" w:rsidRDefault="00151DE5" w:rsidP="00151DE5">
      <w:pPr>
        <w:pStyle w:val="Odsekzoznamu"/>
        <w:spacing w:after="240"/>
        <w:jc w:val="both"/>
        <w:rPr>
          <w:noProof/>
        </w:rPr>
      </w:pPr>
    </w:p>
    <w:p w:rsidR="00361478" w:rsidRPr="00361478" w:rsidRDefault="00361478" w:rsidP="00361478">
      <w:pPr>
        <w:pStyle w:val="Odsekzoznamu"/>
        <w:numPr>
          <w:ilvl w:val="0"/>
          <w:numId w:val="6"/>
        </w:numPr>
        <w:spacing w:after="240"/>
        <w:jc w:val="both"/>
        <w:rPr>
          <w:noProof/>
        </w:rPr>
      </w:pPr>
      <w:r w:rsidRPr="00361478">
        <w:rPr>
          <w:noProof/>
        </w:rPr>
        <w:t xml:space="preserve">statutory declaration stating that he/she has </w:t>
      </w:r>
      <w:r w:rsidRPr="00361478">
        <w:rPr>
          <w:rFonts w:eastAsiaTheme="minorHAnsi"/>
          <w:noProof/>
          <w:color w:val="000000"/>
          <w:lang w:eastAsia="en-US"/>
        </w:rPr>
        <w:t>sufficient resources for him/herself and his/her family members so that she/he would not become a person in material need during his/her residence period</w:t>
      </w:r>
      <w:r w:rsidR="00151DE5">
        <w:rPr>
          <w:rFonts w:eastAsiaTheme="minorHAnsi"/>
          <w:noProof/>
          <w:color w:val="000000"/>
          <w:lang w:eastAsia="en-US"/>
        </w:rPr>
        <w:t xml:space="preserve"> in the Slovak Republic</w:t>
      </w:r>
      <w:r w:rsidRPr="00361478">
        <w:rPr>
          <w:rFonts w:eastAsiaTheme="minorHAnsi"/>
          <w:noProof/>
          <w:color w:val="000000"/>
          <w:lang w:eastAsia="en-US"/>
        </w:rPr>
        <w:t xml:space="preserve"> (sign</w:t>
      </w:r>
      <w:r w:rsidR="00151DE5">
        <w:rPr>
          <w:rFonts w:eastAsiaTheme="minorHAnsi"/>
          <w:noProof/>
          <w:color w:val="000000"/>
          <w:lang w:eastAsia="en-US"/>
        </w:rPr>
        <w:t>ature must be officialy authorized by notary public or Register Office</w:t>
      </w:r>
      <w:r w:rsidRPr="00361478">
        <w:rPr>
          <w:rFonts w:eastAsiaTheme="minorHAnsi"/>
          <w:noProof/>
          <w:color w:val="000000"/>
          <w:lang w:eastAsia="en-US"/>
        </w:rPr>
        <w:t>)</w:t>
      </w:r>
      <w:r w:rsidR="00151DE5">
        <w:rPr>
          <w:rFonts w:eastAsiaTheme="minorHAnsi"/>
          <w:noProof/>
          <w:color w:val="000000"/>
          <w:lang w:eastAsia="en-US"/>
        </w:rPr>
        <w:t>.</w:t>
      </w:r>
    </w:p>
    <w:p w:rsidR="00361478" w:rsidRPr="00361478" w:rsidRDefault="00361478" w:rsidP="00361478">
      <w:pPr>
        <w:spacing w:after="240"/>
        <w:jc w:val="both"/>
        <w:rPr>
          <w:noProof/>
        </w:rPr>
      </w:pPr>
      <w:r w:rsidRPr="00361478">
        <w:rPr>
          <w:noProof/>
        </w:rPr>
        <w:t xml:space="preserve"> </w:t>
      </w:r>
    </w:p>
    <w:p w:rsidR="00361478" w:rsidRPr="00361478" w:rsidRDefault="00361478" w:rsidP="00361478">
      <w:pPr>
        <w:spacing w:after="240"/>
        <w:jc w:val="both"/>
        <w:rPr>
          <w:noProof/>
        </w:rPr>
      </w:pPr>
      <w:r w:rsidRPr="00361478">
        <w:rPr>
          <w:b/>
          <w:noProof/>
        </w:rPr>
        <w:lastRenderedPageBreak/>
        <w:t>EU cit</w:t>
      </w:r>
      <w:r w:rsidR="00F827B5">
        <w:rPr>
          <w:b/>
          <w:noProof/>
        </w:rPr>
        <w:t>izen by whom there is an assumption that he/she will be employed (Art. 66</w:t>
      </w:r>
      <w:r w:rsidR="003F5C0C">
        <w:rPr>
          <w:b/>
          <w:noProof/>
        </w:rPr>
        <w:t xml:space="preserve"> par. 6</w:t>
      </w:r>
      <w:r w:rsidR="00F827B5">
        <w:rPr>
          <w:b/>
          <w:noProof/>
        </w:rPr>
        <w:t xml:space="preserve"> of Act on Residence of Foreigners</w:t>
      </w:r>
      <w:r w:rsidRPr="00361478">
        <w:rPr>
          <w:b/>
          <w:noProof/>
        </w:rPr>
        <w:t>)</w:t>
      </w:r>
    </w:p>
    <w:p w:rsidR="00361478" w:rsidRPr="00361478" w:rsidRDefault="003F5C0C" w:rsidP="00361478">
      <w:pPr>
        <w:pStyle w:val="Odsekzoznamu"/>
        <w:numPr>
          <w:ilvl w:val="0"/>
          <w:numId w:val="6"/>
        </w:numPr>
        <w:spacing w:after="240"/>
        <w:jc w:val="both"/>
        <w:rPr>
          <w:b/>
          <w:noProof/>
        </w:rPr>
      </w:pPr>
      <w:r>
        <w:rPr>
          <w:noProof/>
        </w:rPr>
        <w:t xml:space="preserve">a </w:t>
      </w:r>
      <w:r w:rsidR="00361478" w:rsidRPr="00361478">
        <w:rPr>
          <w:noProof/>
        </w:rPr>
        <w:t xml:space="preserve">statutory declaration stating that he/she </w:t>
      </w:r>
      <w:r w:rsidR="00361478" w:rsidRPr="00361478">
        <w:rPr>
          <w:rFonts w:eastAsiaTheme="minorHAnsi"/>
          <w:noProof/>
          <w:color w:val="000000"/>
          <w:lang w:eastAsia="en-US"/>
        </w:rPr>
        <w:t xml:space="preserve">is continuously looking for </w:t>
      </w:r>
      <w:r w:rsidR="00F827B5">
        <w:rPr>
          <w:rFonts w:eastAsiaTheme="minorHAnsi"/>
          <w:noProof/>
          <w:color w:val="000000"/>
          <w:lang w:eastAsia="en-US"/>
        </w:rPr>
        <w:t xml:space="preserve">a </w:t>
      </w:r>
      <w:r>
        <w:rPr>
          <w:rFonts w:eastAsiaTheme="minorHAnsi"/>
          <w:noProof/>
          <w:color w:val="000000"/>
          <w:lang w:eastAsia="en-US"/>
        </w:rPr>
        <w:t>work</w:t>
      </w:r>
      <w:r w:rsidR="00361478" w:rsidRPr="00361478">
        <w:rPr>
          <w:rFonts w:eastAsiaTheme="minorHAnsi"/>
          <w:noProof/>
          <w:color w:val="000000"/>
          <w:lang w:eastAsia="en-US"/>
        </w:rPr>
        <w:t xml:space="preserve"> in the </w:t>
      </w:r>
      <w:r w:rsidR="00F827B5">
        <w:rPr>
          <w:rFonts w:eastAsiaTheme="minorHAnsi"/>
          <w:noProof/>
          <w:color w:val="000000"/>
          <w:lang w:eastAsia="en-US"/>
        </w:rPr>
        <w:t xml:space="preserve">territory of the </w:t>
      </w:r>
      <w:r w:rsidR="00361478" w:rsidRPr="00361478">
        <w:rPr>
          <w:rFonts w:eastAsiaTheme="minorHAnsi"/>
          <w:noProof/>
          <w:color w:val="000000"/>
          <w:lang w:eastAsia="en-US"/>
        </w:rPr>
        <w:t>Slovak Republic (sign</w:t>
      </w:r>
      <w:r w:rsidR="00F827B5">
        <w:rPr>
          <w:rFonts w:eastAsiaTheme="minorHAnsi"/>
          <w:noProof/>
          <w:color w:val="000000"/>
          <w:lang w:eastAsia="en-US"/>
        </w:rPr>
        <w:t>ature must be officialy authorized by Notary Public or by Register Office</w:t>
      </w:r>
      <w:r w:rsidR="00361478" w:rsidRPr="00361478">
        <w:rPr>
          <w:rFonts w:eastAsiaTheme="minorHAnsi"/>
          <w:noProof/>
          <w:color w:val="000000"/>
          <w:lang w:eastAsia="en-US"/>
        </w:rPr>
        <w:t>)</w:t>
      </w:r>
      <w:r w:rsidR="00F827B5">
        <w:rPr>
          <w:rFonts w:eastAsiaTheme="minorHAnsi"/>
          <w:noProof/>
          <w:color w:val="000000"/>
          <w:lang w:eastAsia="en-US"/>
        </w:rPr>
        <w:t>.</w:t>
      </w:r>
    </w:p>
    <w:p w:rsidR="00361478" w:rsidRPr="00361478" w:rsidRDefault="00361478" w:rsidP="00361478">
      <w:pPr>
        <w:spacing w:after="240"/>
        <w:jc w:val="both"/>
        <w:rPr>
          <w:b/>
          <w:noProof/>
        </w:rPr>
      </w:pPr>
      <w:r w:rsidRPr="00361478">
        <w:rPr>
          <w:b/>
          <w:noProof/>
        </w:rPr>
        <w:t xml:space="preserve">   </w:t>
      </w:r>
    </w:p>
    <w:p w:rsidR="00361478" w:rsidRPr="00361478" w:rsidRDefault="00361478" w:rsidP="00361478">
      <w:pPr>
        <w:spacing w:after="240"/>
        <w:jc w:val="both"/>
        <w:rPr>
          <w:noProof/>
        </w:rPr>
      </w:pPr>
      <w:r w:rsidRPr="00361478">
        <w:rPr>
          <w:b/>
          <w:noProof/>
        </w:rPr>
        <w:t>EU citizen who is a family member of EU citizen whom he/she accompanies or joins and who fulfils the condition</w:t>
      </w:r>
      <w:r w:rsidR="00F827B5">
        <w:rPr>
          <w:b/>
          <w:noProof/>
        </w:rPr>
        <w:t>s for residence mentioned in previous paragraphs (Art. 66</w:t>
      </w:r>
      <w:r w:rsidR="003F5C0C">
        <w:rPr>
          <w:b/>
          <w:noProof/>
        </w:rPr>
        <w:t xml:space="preserve"> par. </w:t>
      </w:r>
      <w:r w:rsidR="00F827B5">
        <w:rPr>
          <w:b/>
          <w:noProof/>
        </w:rPr>
        <w:t>7 of Act on Residence of Foreigners</w:t>
      </w:r>
      <w:r w:rsidRPr="00361478">
        <w:rPr>
          <w:b/>
          <w:noProof/>
        </w:rPr>
        <w:t>)</w:t>
      </w:r>
    </w:p>
    <w:p w:rsidR="00361478" w:rsidRPr="00361478" w:rsidRDefault="003F5C0C" w:rsidP="00361478">
      <w:pPr>
        <w:pStyle w:val="Odsekzoznamu"/>
        <w:numPr>
          <w:ilvl w:val="0"/>
          <w:numId w:val="6"/>
        </w:numPr>
        <w:spacing w:after="240"/>
        <w:jc w:val="both"/>
        <w:rPr>
          <w:b/>
          <w:noProof/>
        </w:rPr>
      </w:pPr>
      <w:r>
        <w:rPr>
          <w:noProof/>
        </w:rPr>
        <w:t xml:space="preserve">a </w:t>
      </w:r>
      <w:r w:rsidR="00361478" w:rsidRPr="00361478">
        <w:rPr>
          <w:noProof/>
        </w:rPr>
        <w:t>document which confirms the family relationship (certificate of birth, certificate of marriage) or</w:t>
      </w:r>
    </w:p>
    <w:p w:rsidR="00361478" w:rsidRPr="00361478" w:rsidRDefault="003F5C0C" w:rsidP="00361478">
      <w:pPr>
        <w:pStyle w:val="Odsekzoznamu"/>
        <w:numPr>
          <w:ilvl w:val="0"/>
          <w:numId w:val="6"/>
        </w:numPr>
        <w:spacing w:after="240"/>
        <w:jc w:val="both"/>
        <w:rPr>
          <w:b/>
          <w:noProof/>
        </w:rPr>
      </w:pPr>
      <w:r>
        <w:rPr>
          <w:noProof/>
        </w:rPr>
        <w:t xml:space="preserve">a </w:t>
      </w:r>
      <w:r w:rsidR="00361478" w:rsidRPr="00361478">
        <w:rPr>
          <w:noProof/>
        </w:rPr>
        <w:t>document which confirms that he/she has a permanent, duly certified relationship with the EU citizen (e.g.</w:t>
      </w:r>
      <w:r w:rsidR="00F827B5">
        <w:rPr>
          <w:noProof/>
        </w:rPr>
        <w:t xml:space="preserve"> common law wife, husband,</w:t>
      </w:r>
      <w:r w:rsidR="00361478" w:rsidRPr="00361478">
        <w:rPr>
          <w:noProof/>
        </w:rPr>
        <w:t xml:space="preserve"> registered partner)</w:t>
      </w:r>
      <w:r w:rsidR="008C72A4">
        <w:rPr>
          <w:noProof/>
        </w:rPr>
        <w:t xml:space="preserve"> </w:t>
      </w:r>
      <w:r w:rsidR="008C72A4" w:rsidRPr="008C72A4">
        <w:rPr>
          <w:b/>
          <w:noProof/>
        </w:rPr>
        <w:t>and</w:t>
      </w:r>
      <w:r w:rsidR="008C72A4">
        <w:rPr>
          <w:noProof/>
        </w:rPr>
        <w:t xml:space="preserve"> </w:t>
      </w:r>
    </w:p>
    <w:p w:rsidR="00361478" w:rsidRPr="00361478" w:rsidRDefault="003F5C0C" w:rsidP="00361478">
      <w:pPr>
        <w:pStyle w:val="Odsekzoznamu"/>
        <w:numPr>
          <w:ilvl w:val="0"/>
          <w:numId w:val="6"/>
        </w:numPr>
        <w:spacing w:after="240"/>
        <w:jc w:val="both"/>
        <w:rPr>
          <w:b/>
          <w:noProof/>
        </w:rPr>
      </w:pPr>
      <w:r>
        <w:rPr>
          <w:noProof/>
        </w:rPr>
        <w:t xml:space="preserve">a </w:t>
      </w:r>
      <w:r w:rsidR="00F827B5">
        <w:rPr>
          <w:noProof/>
        </w:rPr>
        <w:t>confirmation of registration of</w:t>
      </w:r>
      <w:r w:rsidR="00361478" w:rsidRPr="00361478">
        <w:rPr>
          <w:noProof/>
        </w:rPr>
        <w:t xml:space="preserve"> the EU citizen whom he/she accompanies or joins.</w:t>
      </w:r>
    </w:p>
    <w:p w:rsidR="00361478" w:rsidRPr="00361478" w:rsidRDefault="00361478" w:rsidP="00361478">
      <w:pPr>
        <w:spacing w:after="240"/>
        <w:jc w:val="both"/>
        <w:rPr>
          <w:b/>
          <w:noProof/>
        </w:rPr>
      </w:pPr>
    </w:p>
    <w:p w:rsidR="00876183" w:rsidRDefault="008C72A4" w:rsidP="008C72A4">
      <w:pPr>
        <w:spacing w:after="240"/>
        <w:jc w:val="both"/>
        <w:rPr>
          <w:lang w:val="en-GB"/>
        </w:rPr>
      </w:pPr>
      <w:r w:rsidRPr="008C72A4">
        <w:rPr>
          <w:lang w:val="en-GB"/>
        </w:rPr>
        <w:t>E</w:t>
      </w:r>
      <w:r w:rsidR="003062E0">
        <w:rPr>
          <w:lang w:val="en-GB"/>
        </w:rPr>
        <w:t xml:space="preserve">U citizen according to Art. 65 par. </w:t>
      </w:r>
      <w:r w:rsidRPr="008C72A4">
        <w:rPr>
          <w:lang w:val="en-GB"/>
        </w:rPr>
        <w:t>1, who has his/her right on residen</w:t>
      </w:r>
      <w:r>
        <w:rPr>
          <w:lang w:val="en-GB"/>
        </w:rPr>
        <w:t>c</w:t>
      </w:r>
      <w:r w:rsidRPr="008C72A4">
        <w:rPr>
          <w:lang w:val="en-GB"/>
        </w:rPr>
        <w:t>e registered by Police Unit may apply for issuance of a document on residence denoted as „Residence document of EU citizen</w:t>
      </w:r>
      <w:proofErr w:type="gramStart"/>
      <w:r w:rsidRPr="008C72A4">
        <w:rPr>
          <w:lang w:val="en-GB"/>
        </w:rPr>
        <w:t>“ valid</w:t>
      </w:r>
      <w:proofErr w:type="gramEnd"/>
      <w:r w:rsidRPr="008C72A4">
        <w:rPr>
          <w:lang w:val="en-GB"/>
        </w:rPr>
        <w:t xml:space="preserve"> for period of 5 years. </w:t>
      </w:r>
      <w:r>
        <w:rPr>
          <w:lang w:val="en-GB"/>
        </w:rPr>
        <w:t xml:space="preserve">The Police </w:t>
      </w:r>
      <w:r w:rsidR="003F5C0C">
        <w:rPr>
          <w:lang w:val="en-GB"/>
        </w:rPr>
        <w:t>department</w:t>
      </w:r>
      <w:r>
        <w:rPr>
          <w:lang w:val="en-GB"/>
        </w:rPr>
        <w:t xml:space="preserve"> issues this document for EU citizen within 30 days. </w:t>
      </w:r>
    </w:p>
    <w:p w:rsidR="008C72A4" w:rsidRPr="008C72A4" w:rsidRDefault="008C72A4" w:rsidP="008C72A4">
      <w:pPr>
        <w:spacing w:after="240"/>
        <w:jc w:val="both"/>
        <w:rPr>
          <w:lang w:val="en-GB"/>
        </w:rPr>
      </w:pPr>
      <w:r>
        <w:rPr>
          <w:lang w:val="en-GB"/>
        </w:rPr>
        <w:t>In case EU citizen applies for issuance of the document on residence, he/she is obliged to submit document on accommodation according to Art. 122 and 2 photographs in size of 3 x 3</w:t>
      </w:r>
      <w:proofErr w:type="gramStart"/>
      <w:r>
        <w:rPr>
          <w:lang w:val="en-GB"/>
        </w:rPr>
        <w:t>,5</w:t>
      </w:r>
      <w:proofErr w:type="gramEnd"/>
      <w:r>
        <w:rPr>
          <w:lang w:val="en-GB"/>
        </w:rPr>
        <w:t xml:space="preserve"> cm showing his/her actual appearance, otherwise the Police </w:t>
      </w:r>
      <w:r w:rsidR="003F5C0C">
        <w:rPr>
          <w:lang w:val="en-GB"/>
        </w:rPr>
        <w:t>department</w:t>
      </w:r>
      <w:r>
        <w:rPr>
          <w:lang w:val="en-GB"/>
        </w:rPr>
        <w:t xml:space="preserve"> shall not issue the document on residence. Accommodation must be at minimum in compliance with requirements of special act. </w:t>
      </w:r>
    </w:p>
    <w:sectPr w:rsidR="008C72A4" w:rsidRPr="008C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D85"/>
    <w:multiLevelType w:val="hybridMultilevel"/>
    <w:tmpl w:val="60D42664"/>
    <w:lvl w:ilvl="0" w:tplc="2F3C615E">
      <w:start w:val="1"/>
      <w:numFmt w:val="bullet"/>
      <w:lvlText w:val=""/>
      <w:lvlJc w:val="left"/>
      <w:pPr>
        <w:ind w:left="1200" w:hanging="360"/>
      </w:pPr>
      <w:rPr>
        <w:rFonts w:ascii="Symbol" w:hAnsi="Symbol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8303A60"/>
    <w:multiLevelType w:val="hybridMultilevel"/>
    <w:tmpl w:val="97F2C7DC"/>
    <w:lvl w:ilvl="0" w:tplc="BC36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5ACD"/>
    <w:multiLevelType w:val="hybridMultilevel"/>
    <w:tmpl w:val="493ABDB8"/>
    <w:lvl w:ilvl="0" w:tplc="DF6AA87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C7394"/>
    <w:multiLevelType w:val="hybridMultilevel"/>
    <w:tmpl w:val="414A042A"/>
    <w:lvl w:ilvl="0" w:tplc="02A6ED72">
      <w:start w:val="1"/>
      <w:numFmt w:val="bullet"/>
      <w:lvlText w:val=""/>
      <w:lvlJc w:val="left"/>
      <w:pPr>
        <w:ind w:left="1509" w:hanging="360"/>
      </w:pPr>
      <w:rPr>
        <w:rFonts w:ascii="Symbol" w:hAnsi="Symbol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507C6383"/>
    <w:multiLevelType w:val="hybridMultilevel"/>
    <w:tmpl w:val="3BF21244"/>
    <w:lvl w:ilvl="0" w:tplc="263E8A7E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674E7E"/>
    <w:multiLevelType w:val="hybridMultilevel"/>
    <w:tmpl w:val="8D5EE3EA"/>
    <w:lvl w:ilvl="0" w:tplc="03BA5F6A">
      <w:start w:val="1"/>
      <w:numFmt w:val="bullet"/>
      <w:lvlText w:val=""/>
      <w:lvlJc w:val="left"/>
      <w:pPr>
        <w:ind w:left="1509" w:hanging="360"/>
      </w:pPr>
      <w:rPr>
        <w:rFonts w:ascii="Symbol" w:hAnsi="Symbol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71"/>
    <w:rsid w:val="00151DE5"/>
    <w:rsid w:val="003062E0"/>
    <w:rsid w:val="00361478"/>
    <w:rsid w:val="003F5C0C"/>
    <w:rsid w:val="007558F0"/>
    <w:rsid w:val="007E3E8A"/>
    <w:rsid w:val="00876183"/>
    <w:rsid w:val="008C72A4"/>
    <w:rsid w:val="00D72171"/>
    <w:rsid w:val="00DA0EC8"/>
    <w:rsid w:val="00F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A0FB"/>
  <w15:docId w15:val="{C2D1293C-2C43-45DE-8FA9-4D861085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361478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36147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6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Mária Borguľová</cp:lastModifiedBy>
  <cp:revision>8</cp:revision>
  <dcterms:created xsi:type="dcterms:W3CDTF">2014-03-03T12:43:00Z</dcterms:created>
  <dcterms:modified xsi:type="dcterms:W3CDTF">2020-09-17T07:43:00Z</dcterms:modified>
</cp:coreProperties>
</file>