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60"/>
        <w:gridCol w:w="3543"/>
        <w:gridCol w:w="3969"/>
      </w:tblGrid>
      <w:tr w:rsidR="009C3E1E" w:rsidRPr="00646379" w14:paraId="079CDE3C" w14:textId="77777777" w:rsidTr="002D4B78">
        <w:trPr>
          <w:trHeight w:val="1539"/>
          <w:jc w:val="center"/>
        </w:trPr>
        <w:tc>
          <w:tcPr>
            <w:tcW w:w="1560" w:type="dxa"/>
          </w:tcPr>
          <w:p w14:paraId="42094844" w14:textId="77777777" w:rsidR="009C3E1E" w:rsidRPr="00646379" w:rsidRDefault="009C3E1E" w:rsidP="00F01EB0">
            <w:pPr>
              <w:rPr>
                <w:rFonts w:ascii="Arial" w:hAnsi="Arial" w:cs="Arial"/>
              </w:rPr>
            </w:pPr>
            <w:r w:rsidRPr="00646379">
              <w:rPr>
                <w:noProof/>
              </w:rPr>
              <w:drawing>
                <wp:anchor distT="0" distB="0" distL="114300" distR="114300" simplePos="0" relativeHeight="251658240" behindDoc="0" locked="0" layoutInCell="1" allowOverlap="1" wp14:anchorId="00E2A8F0" wp14:editId="1277B06B">
                  <wp:simplePos x="0" y="0"/>
                  <wp:positionH relativeFrom="column">
                    <wp:posOffset>-17672</wp:posOffset>
                  </wp:positionH>
                  <wp:positionV relativeFrom="paragraph">
                    <wp:posOffset>47313</wp:posOffset>
                  </wp:positionV>
                  <wp:extent cx="895350" cy="940280"/>
                  <wp:effectExtent l="19050" t="0" r="0" b="0"/>
                  <wp:wrapNone/>
                  <wp:docPr id="2"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8" cstate="print"/>
                          <a:srcRect/>
                          <a:stretch>
                            <a:fillRect/>
                          </a:stretch>
                        </pic:blipFill>
                        <pic:spPr bwMode="auto">
                          <a:xfrm>
                            <a:off x="0" y="0"/>
                            <a:ext cx="895350" cy="940280"/>
                          </a:xfrm>
                          <a:prstGeom prst="rect">
                            <a:avLst/>
                          </a:prstGeom>
                          <a:noFill/>
                        </pic:spPr>
                      </pic:pic>
                    </a:graphicData>
                  </a:graphic>
                </wp:anchor>
              </w:drawing>
            </w:r>
          </w:p>
        </w:tc>
        <w:tc>
          <w:tcPr>
            <w:tcW w:w="3543" w:type="dxa"/>
            <w:vAlign w:val="center"/>
          </w:tcPr>
          <w:p w14:paraId="79263D68" w14:textId="77777777" w:rsidR="009C3E1E" w:rsidRPr="00646379" w:rsidRDefault="009C3E1E" w:rsidP="00083697">
            <w:pPr>
              <w:jc w:val="center"/>
              <w:rPr>
                <w:rFonts w:ascii="Arial" w:hAnsi="Arial" w:cs="Arial"/>
                <w:b/>
                <w:bCs/>
              </w:rPr>
            </w:pPr>
            <w:r w:rsidRPr="00646379">
              <w:rPr>
                <w:rFonts w:ascii="Arial" w:hAnsi="Arial" w:cs="Arial"/>
                <w:b/>
                <w:bCs/>
              </w:rPr>
              <w:t>INECO, s.r.o.</w:t>
            </w:r>
          </w:p>
          <w:p w14:paraId="4B0EB46B" w14:textId="3A8B1A84" w:rsidR="009C3E1E" w:rsidRPr="00646379" w:rsidRDefault="009C3E1E" w:rsidP="00083697">
            <w:pPr>
              <w:jc w:val="center"/>
              <w:rPr>
                <w:rFonts w:ascii="Arial" w:hAnsi="Arial" w:cs="Arial"/>
              </w:rPr>
            </w:pPr>
            <w:r w:rsidRPr="00646379">
              <w:rPr>
                <w:rFonts w:ascii="Arial" w:hAnsi="Arial" w:cs="Arial"/>
              </w:rPr>
              <w:sym w:font="Wingdings" w:char="F02A"/>
            </w:r>
            <w:r w:rsidRPr="00646379">
              <w:rPr>
                <w:rFonts w:ascii="Arial" w:hAnsi="Arial" w:cs="Arial"/>
              </w:rPr>
              <w:t xml:space="preserve"> Mladých budovateľov 2</w:t>
            </w:r>
          </w:p>
          <w:p w14:paraId="0E2C4D9B" w14:textId="5B4CDBD3" w:rsidR="009C3E1E" w:rsidRPr="00646379" w:rsidRDefault="009C3E1E" w:rsidP="00083697">
            <w:pPr>
              <w:jc w:val="center"/>
              <w:rPr>
                <w:rFonts w:ascii="Arial" w:hAnsi="Arial" w:cs="Arial"/>
              </w:rPr>
            </w:pPr>
            <w:r w:rsidRPr="00646379">
              <w:rPr>
                <w:rFonts w:ascii="Arial" w:hAnsi="Arial" w:cs="Arial"/>
              </w:rPr>
              <w:t>974 11 Banská Bystrica</w:t>
            </w:r>
          </w:p>
          <w:p w14:paraId="54A9F9E4" w14:textId="2E9A180D" w:rsidR="009C3E1E" w:rsidRPr="00646379" w:rsidRDefault="009C3E1E" w:rsidP="00083697">
            <w:pPr>
              <w:jc w:val="center"/>
              <w:rPr>
                <w:rFonts w:ascii="Arial Narrow" w:hAnsi="Arial Narrow" w:cs="Arial Narrow"/>
              </w:rPr>
            </w:pPr>
            <w:r w:rsidRPr="00646379">
              <w:rPr>
                <w:rFonts w:ascii="Arial" w:hAnsi="Arial" w:cs="Arial"/>
              </w:rPr>
              <w:t>Slovenská republika</w:t>
            </w:r>
          </w:p>
        </w:tc>
        <w:tc>
          <w:tcPr>
            <w:tcW w:w="3969" w:type="dxa"/>
            <w:vAlign w:val="center"/>
          </w:tcPr>
          <w:p w14:paraId="17E47DB7" w14:textId="60C38F92" w:rsidR="009C3E1E" w:rsidRPr="00646379" w:rsidRDefault="009C3E1E" w:rsidP="00083697">
            <w:pPr>
              <w:tabs>
                <w:tab w:val="left" w:pos="5987"/>
              </w:tabs>
              <w:jc w:val="center"/>
              <w:rPr>
                <w:rFonts w:ascii="Arial" w:hAnsi="Arial" w:cs="Arial"/>
              </w:rPr>
            </w:pPr>
            <w:r w:rsidRPr="00646379">
              <w:rPr>
                <w:rFonts w:ascii="Arial" w:hAnsi="Arial" w:cs="Arial"/>
              </w:rPr>
              <w:sym w:font="Wingdings" w:char="F028"/>
            </w:r>
            <w:r w:rsidRPr="00646379">
              <w:rPr>
                <w:rFonts w:ascii="Arial" w:hAnsi="Arial" w:cs="Arial"/>
              </w:rPr>
              <w:t xml:space="preserve"> (+421)-</w:t>
            </w:r>
            <w:r w:rsidR="00083697" w:rsidRPr="00083697">
              <w:rPr>
                <w:rFonts w:ascii="Arial" w:hAnsi="Arial" w:cs="Arial"/>
              </w:rPr>
              <w:t xml:space="preserve"> 948 634 624</w:t>
            </w:r>
          </w:p>
          <w:p w14:paraId="267AA93C" w14:textId="77777777" w:rsidR="009C3E1E" w:rsidRPr="00646379" w:rsidRDefault="009C3E1E" w:rsidP="00083697">
            <w:pPr>
              <w:tabs>
                <w:tab w:val="left" w:pos="520"/>
              </w:tabs>
              <w:jc w:val="center"/>
              <w:rPr>
                <w:rFonts w:ascii="Arial" w:hAnsi="Arial" w:cs="Arial"/>
              </w:rPr>
            </w:pPr>
            <w:r w:rsidRPr="00646379">
              <w:rPr>
                <w:rFonts w:ascii="Arial" w:hAnsi="Arial" w:cs="Arial"/>
              </w:rPr>
              <w:t>Web: www.enviroservis.sk</w:t>
            </w:r>
          </w:p>
          <w:p w14:paraId="4ABB1EE4" w14:textId="77777777" w:rsidR="009C3E1E" w:rsidRPr="00646379" w:rsidRDefault="009C3E1E" w:rsidP="00083697">
            <w:pPr>
              <w:tabs>
                <w:tab w:val="left" w:pos="520"/>
              </w:tabs>
              <w:jc w:val="center"/>
              <w:rPr>
                <w:rFonts w:ascii="Arial Narrow" w:hAnsi="Arial Narrow" w:cs="Arial Narrow"/>
              </w:rPr>
            </w:pPr>
            <w:r w:rsidRPr="00646379">
              <w:rPr>
                <w:rFonts w:ascii="Arial" w:hAnsi="Arial" w:cs="Arial"/>
              </w:rPr>
              <w:t>e-mail: ineco.bb@gmail.com</w:t>
            </w:r>
          </w:p>
        </w:tc>
      </w:tr>
      <w:tr w:rsidR="009C3E1E" w:rsidRPr="00646379" w14:paraId="39CB31B6" w14:textId="77777777" w:rsidTr="002D4B78">
        <w:trPr>
          <w:trHeight w:val="8747"/>
          <w:jc w:val="center"/>
        </w:trPr>
        <w:tc>
          <w:tcPr>
            <w:tcW w:w="9072" w:type="dxa"/>
            <w:gridSpan w:val="3"/>
          </w:tcPr>
          <w:p w14:paraId="28064943" w14:textId="77777777" w:rsidR="009C3E1E" w:rsidRPr="00646379" w:rsidRDefault="009C3E1E" w:rsidP="00F01EB0">
            <w:pPr>
              <w:rPr>
                <w:rFonts w:ascii="Arial" w:hAnsi="Arial" w:cs="Arial"/>
              </w:rPr>
            </w:pPr>
          </w:p>
          <w:p w14:paraId="1435624A" w14:textId="77777777" w:rsidR="009C3E1E" w:rsidRPr="00646379" w:rsidRDefault="009C3E1E" w:rsidP="00F01EB0">
            <w:pPr>
              <w:rPr>
                <w:rFonts w:ascii="Arial" w:hAnsi="Arial" w:cs="Arial"/>
              </w:rPr>
            </w:pPr>
          </w:p>
          <w:p w14:paraId="5F086747" w14:textId="77777777" w:rsidR="009C3E1E" w:rsidRPr="00646379" w:rsidRDefault="009C3E1E" w:rsidP="00F01EB0">
            <w:pPr>
              <w:rPr>
                <w:rFonts w:ascii="Arial" w:hAnsi="Arial" w:cs="Arial"/>
              </w:rPr>
            </w:pPr>
          </w:p>
          <w:p w14:paraId="606F0A0C" w14:textId="77777777" w:rsidR="009C3E1E" w:rsidRPr="00646379" w:rsidRDefault="009C3E1E" w:rsidP="00F01EB0">
            <w:pPr>
              <w:rPr>
                <w:rFonts w:ascii="Arial" w:hAnsi="Arial" w:cs="Arial"/>
              </w:rPr>
            </w:pPr>
          </w:p>
          <w:p w14:paraId="1EE166D9" w14:textId="77777777" w:rsidR="009C3E1E" w:rsidRPr="00646379" w:rsidRDefault="009C3E1E" w:rsidP="00F01EB0">
            <w:pPr>
              <w:rPr>
                <w:rFonts w:ascii="Arial" w:hAnsi="Arial" w:cs="Arial"/>
              </w:rPr>
            </w:pPr>
          </w:p>
          <w:p w14:paraId="4833494E" w14:textId="77777777" w:rsidR="009C3E1E" w:rsidRPr="00646379" w:rsidRDefault="009C3E1E" w:rsidP="00F01EB0">
            <w:pPr>
              <w:rPr>
                <w:rFonts w:ascii="Arial" w:hAnsi="Arial" w:cs="Arial"/>
              </w:rPr>
            </w:pPr>
          </w:p>
          <w:p w14:paraId="72901132" w14:textId="77777777" w:rsidR="009C3E1E" w:rsidRPr="00646379" w:rsidRDefault="009C3E1E" w:rsidP="00F01EB0">
            <w:pPr>
              <w:rPr>
                <w:rFonts w:ascii="Arial" w:hAnsi="Arial" w:cs="Arial"/>
              </w:rPr>
            </w:pPr>
          </w:p>
          <w:p w14:paraId="1BF09F88" w14:textId="77777777" w:rsidR="009C3E1E" w:rsidRPr="00646379" w:rsidRDefault="009C3E1E" w:rsidP="00F01EB0">
            <w:pPr>
              <w:jc w:val="center"/>
              <w:rPr>
                <w:rFonts w:ascii="Arial" w:hAnsi="Arial" w:cs="Arial"/>
                <w:b/>
                <w:bCs/>
                <w:sz w:val="40"/>
                <w:szCs w:val="40"/>
              </w:rPr>
            </w:pPr>
            <w:r w:rsidRPr="00646379">
              <w:rPr>
                <w:rFonts w:ascii="Arial" w:hAnsi="Arial" w:cs="Arial"/>
                <w:b/>
                <w:bCs/>
                <w:sz w:val="40"/>
                <w:szCs w:val="40"/>
              </w:rPr>
              <w:t xml:space="preserve">Oznámenie o zmene </w:t>
            </w:r>
          </w:p>
          <w:p w14:paraId="7924DB53" w14:textId="77777777" w:rsidR="009C3E1E" w:rsidRPr="00646379" w:rsidRDefault="009C3E1E" w:rsidP="00F01EB0">
            <w:pPr>
              <w:jc w:val="center"/>
              <w:rPr>
                <w:rFonts w:ascii="Arial" w:hAnsi="Arial" w:cs="Arial"/>
                <w:b/>
                <w:bCs/>
                <w:sz w:val="40"/>
                <w:szCs w:val="40"/>
              </w:rPr>
            </w:pPr>
            <w:r w:rsidRPr="00646379">
              <w:rPr>
                <w:rFonts w:ascii="Arial" w:hAnsi="Arial" w:cs="Arial"/>
                <w:b/>
                <w:bCs/>
                <w:sz w:val="40"/>
                <w:szCs w:val="40"/>
              </w:rPr>
              <w:t>navrhovanej činnosti</w:t>
            </w:r>
          </w:p>
          <w:p w14:paraId="15FF04D4" w14:textId="77777777" w:rsidR="009C3E1E" w:rsidRPr="00646379" w:rsidRDefault="009C3E1E" w:rsidP="00F01EB0">
            <w:pPr>
              <w:jc w:val="center"/>
              <w:rPr>
                <w:rFonts w:ascii="Arial" w:hAnsi="Arial" w:cs="Arial"/>
              </w:rPr>
            </w:pPr>
            <w:r w:rsidRPr="00646379">
              <w:rPr>
                <w:rFonts w:ascii="Arial" w:hAnsi="Arial" w:cs="Arial"/>
              </w:rPr>
              <w:t xml:space="preserve">Vypracované podľa </w:t>
            </w:r>
            <w:r w:rsidR="002D4B78" w:rsidRPr="00646379">
              <w:rPr>
                <w:rFonts w:ascii="Arial" w:hAnsi="Arial" w:cs="Arial"/>
              </w:rPr>
              <w:t>prílohy č. </w:t>
            </w:r>
            <w:r w:rsidRPr="00646379">
              <w:rPr>
                <w:rFonts w:ascii="Arial" w:hAnsi="Arial" w:cs="Arial"/>
              </w:rPr>
              <w:t>8a k zákonu č. 24/2006 Z.z.</w:t>
            </w:r>
          </w:p>
          <w:p w14:paraId="7368EE49" w14:textId="77777777" w:rsidR="009C3E1E" w:rsidRPr="00646379" w:rsidRDefault="009C3E1E" w:rsidP="00F01EB0">
            <w:pPr>
              <w:rPr>
                <w:rFonts w:ascii="Arial" w:hAnsi="Arial" w:cs="Arial"/>
              </w:rPr>
            </w:pPr>
          </w:p>
          <w:p w14:paraId="1B8A6C58" w14:textId="77777777" w:rsidR="009C3E1E" w:rsidRPr="00646379" w:rsidRDefault="009C3E1E" w:rsidP="00F01EB0">
            <w:pPr>
              <w:rPr>
                <w:rFonts w:ascii="Arial" w:hAnsi="Arial" w:cs="Arial"/>
              </w:rPr>
            </w:pPr>
          </w:p>
          <w:p w14:paraId="286B2F55" w14:textId="77777777" w:rsidR="009C3E1E" w:rsidRPr="00646379" w:rsidRDefault="009C3E1E" w:rsidP="00F01EB0">
            <w:pPr>
              <w:rPr>
                <w:rFonts w:ascii="Arial" w:hAnsi="Arial" w:cs="Arial"/>
              </w:rPr>
            </w:pPr>
          </w:p>
          <w:p w14:paraId="33038EAC" w14:textId="77777777" w:rsidR="009C3E1E" w:rsidRPr="00646379" w:rsidRDefault="009C3E1E" w:rsidP="00F01EB0">
            <w:pPr>
              <w:rPr>
                <w:rFonts w:ascii="Arial" w:hAnsi="Arial" w:cs="Arial"/>
              </w:rPr>
            </w:pPr>
          </w:p>
          <w:p w14:paraId="2A851834" w14:textId="77777777" w:rsidR="009C3E1E" w:rsidRPr="00646379" w:rsidRDefault="009C3E1E" w:rsidP="00F01EB0">
            <w:pPr>
              <w:rPr>
                <w:rFonts w:ascii="Arial" w:hAnsi="Arial" w:cs="Arial"/>
              </w:rPr>
            </w:pPr>
          </w:p>
          <w:p w14:paraId="4EFE53D0" w14:textId="77777777" w:rsidR="00DB65AD" w:rsidRPr="00646379" w:rsidRDefault="00DB65AD" w:rsidP="00DB65AD">
            <w:pPr>
              <w:pStyle w:val="tlPodaokraja"/>
              <w:jc w:val="center"/>
              <w:rPr>
                <w:b/>
                <w:bCs/>
                <w:i/>
                <w:iCs/>
                <w:sz w:val="36"/>
                <w:szCs w:val="32"/>
              </w:rPr>
            </w:pPr>
            <w:r w:rsidRPr="00646379">
              <w:rPr>
                <w:b/>
                <w:bCs/>
                <w:i/>
                <w:iCs/>
                <w:sz w:val="36"/>
                <w:szCs w:val="32"/>
              </w:rPr>
              <w:t xml:space="preserve">„Rozšírenie výrobného areálu f. </w:t>
            </w:r>
            <w:proofErr w:type="spellStart"/>
            <w:r w:rsidRPr="00646379">
              <w:rPr>
                <w:b/>
                <w:bCs/>
                <w:i/>
                <w:iCs/>
                <w:sz w:val="36"/>
                <w:szCs w:val="32"/>
              </w:rPr>
              <w:t>Tristone</w:t>
            </w:r>
            <w:proofErr w:type="spellEnd"/>
            <w:r w:rsidRPr="00646379">
              <w:rPr>
                <w:b/>
                <w:bCs/>
                <w:i/>
                <w:iCs/>
                <w:sz w:val="36"/>
                <w:szCs w:val="32"/>
              </w:rPr>
              <w:t xml:space="preserve"> </w:t>
            </w:r>
            <w:proofErr w:type="spellStart"/>
            <w:r w:rsidRPr="00646379">
              <w:rPr>
                <w:b/>
                <w:bCs/>
                <w:i/>
                <w:iCs/>
                <w:sz w:val="36"/>
                <w:szCs w:val="32"/>
              </w:rPr>
              <w:t>Flowtech</w:t>
            </w:r>
            <w:proofErr w:type="spellEnd"/>
            <w:r w:rsidRPr="00646379">
              <w:rPr>
                <w:b/>
                <w:bCs/>
                <w:i/>
                <w:iCs/>
                <w:sz w:val="36"/>
                <w:szCs w:val="32"/>
              </w:rPr>
              <w:t xml:space="preserve"> Slovakia s.r.o.“</w:t>
            </w:r>
          </w:p>
          <w:p w14:paraId="0DE23300" w14:textId="77777777" w:rsidR="009C3E1E" w:rsidRPr="00646379" w:rsidRDefault="009C3E1E" w:rsidP="00F01EB0"/>
        </w:tc>
      </w:tr>
      <w:tr w:rsidR="009C3E1E" w:rsidRPr="00646379" w14:paraId="3FA21BE6" w14:textId="77777777" w:rsidTr="002D4B78">
        <w:trPr>
          <w:trHeight w:val="1677"/>
          <w:jc w:val="center"/>
        </w:trPr>
        <w:tc>
          <w:tcPr>
            <w:tcW w:w="9072" w:type="dxa"/>
            <w:gridSpan w:val="3"/>
            <w:vAlign w:val="center"/>
          </w:tcPr>
          <w:p w14:paraId="433EDB20" w14:textId="77777777" w:rsidR="00DB65AD" w:rsidRPr="00646379" w:rsidRDefault="00DB65AD" w:rsidP="00DB65AD">
            <w:pPr>
              <w:jc w:val="center"/>
              <w:rPr>
                <w:rFonts w:ascii="Arial" w:eastAsia="Calibri" w:hAnsi="Arial" w:cs="Arial"/>
                <w:b/>
                <w:i/>
              </w:rPr>
            </w:pPr>
            <w:proofErr w:type="spellStart"/>
            <w:r w:rsidRPr="00646379">
              <w:rPr>
                <w:rFonts w:ascii="Arial" w:eastAsia="Calibri" w:hAnsi="Arial" w:cs="Arial"/>
                <w:b/>
                <w:i/>
              </w:rPr>
              <w:t>Tristone</w:t>
            </w:r>
            <w:proofErr w:type="spellEnd"/>
            <w:r w:rsidRPr="00646379">
              <w:rPr>
                <w:rFonts w:ascii="Arial" w:eastAsia="Calibri" w:hAnsi="Arial" w:cs="Arial"/>
                <w:b/>
                <w:i/>
              </w:rPr>
              <w:t xml:space="preserve"> </w:t>
            </w:r>
            <w:proofErr w:type="spellStart"/>
            <w:r w:rsidRPr="00646379">
              <w:rPr>
                <w:rFonts w:ascii="Arial" w:eastAsia="Calibri" w:hAnsi="Arial" w:cs="Arial"/>
                <w:b/>
                <w:i/>
              </w:rPr>
              <w:t>Flowtech</w:t>
            </w:r>
            <w:proofErr w:type="spellEnd"/>
            <w:r w:rsidRPr="00646379">
              <w:rPr>
                <w:rFonts w:ascii="Arial" w:eastAsia="Calibri" w:hAnsi="Arial" w:cs="Arial"/>
                <w:b/>
                <w:i/>
              </w:rPr>
              <w:t xml:space="preserve"> Slovakia s.r.o.</w:t>
            </w:r>
          </w:p>
          <w:p w14:paraId="5D692374" w14:textId="77777777" w:rsidR="00DB65AD" w:rsidRPr="00646379" w:rsidRDefault="00DB65AD" w:rsidP="00DB65AD">
            <w:pPr>
              <w:pStyle w:val="tlPodaokraja"/>
              <w:jc w:val="center"/>
            </w:pPr>
            <w:r w:rsidRPr="00646379">
              <w:t xml:space="preserve">Železničný rad 40 968 01 </w:t>
            </w:r>
          </w:p>
          <w:p w14:paraId="25820843" w14:textId="77777777" w:rsidR="00DB65AD" w:rsidRPr="00646379" w:rsidRDefault="00DB65AD" w:rsidP="00DB65AD">
            <w:pPr>
              <w:pStyle w:val="tlPodaokraja"/>
              <w:jc w:val="center"/>
            </w:pPr>
            <w:r w:rsidRPr="00646379">
              <w:t>Nová Baňa</w:t>
            </w:r>
          </w:p>
          <w:p w14:paraId="0883B421" w14:textId="77777777" w:rsidR="009C3E1E" w:rsidRPr="00646379" w:rsidRDefault="009C3E1E" w:rsidP="009C3E1E">
            <w:pPr>
              <w:jc w:val="center"/>
            </w:pPr>
          </w:p>
        </w:tc>
      </w:tr>
      <w:tr w:rsidR="009C3E1E" w:rsidRPr="00646379" w14:paraId="477D9769" w14:textId="77777777" w:rsidTr="002D4B78">
        <w:trPr>
          <w:trHeight w:val="397"/>
          <w:jc w:val="center"/>
        </w:trPr>
        <w:tc>
          <w:tcPr>
            <w:tcW w:w="9072" w:type="dxa"/>
            <w:gridSpan w:val="3"/>
            <w:vAlign w:val="center"/>
          </w:tcPr>
          <w:p w14:paraId="49150C17" w14:textId="70ACA395" w:rsidR="009C3E1E" w:rsidRPr="00646379" w:rsidRDefault="009C3E1E" w:rsidP="00323199">
            <w:pPr>
              <w:jc w:val="center"/>
              <w:rPr>
                <w:rFonts w:ascii="Arial" w:hAnsi="Arial" w:cs="Arial"/>
                <w:b/>
                <w:bCs/>
              </w:rPr>
            </w:pPr>
            <w:r w:rsidRPr="00646379">
              <w:rPr>
                <w:rFonts w:ascii="Arial" w:hAnsi="Arial" w:cs="Arial"/>
                <w:b/>
                <w:bCs/>
              </w:rPr>
              <w:t xml:space="preserve">Banská Bystrica, </w:t>
            </w:r>
            <w:r w:rsidR="0012283D">
              <w:rPr>
                <w:rFonts w:ascii="Arial" w:hAnsi="Arial" w:cs="Arial"/>
                <w:b/>
                <w:bCs/>
              </w:rPr>
              <w:t>február</w:t>
            </w:r>
            <w:r w:rsidRPr="00646379">
              <w:rPr>
                <w:rFonts w:ascii="Arial" w:hAnsi="Arial" w:cs="Arial"/>
                <w:b/>
                <w:bCs/>
              </w:rPr>
              <w:t xml:space="preserve"> 20</w:t>
            </w:r>
            <w:r w:rsidR="00083697">
              <w:rPr>
                <w:rFonts w:ascii="Arial" w:hAnsi="Arial" w:cs="Arial"/>
                <w:b/>
                <w:bCs/>
              </w:rPr>
              <w:t>20</w:t>
            </w:r>
          </w:p>
        </w:tc>
      </w:tr>
    </w:tbl>
    <w:p w14:paraId="382674CE" w14:textId="77777777" w:rsidR="00425FC1" w:rsidRPr="00646379" w:rsidRDefault="00425FC1">
      <w:pPr>
        <w:rPr>
          <w:highlight w:val="yellow"/>
        </w:rPr>
      </w:pPr>
    </w:p>
    <w:p w14:paraId="365BDEA0" w14:textId="77777777" w:rsidR="00425FC1" w:rsidRPr="00646379" w:rsidRDefault="00425FC1">
      <w:pPr>
        <w:rPr>
          <w:highlight w:val="yellow"/>
        </w:rPr>
      </w:pPr>
      <w:r w:rsidRPr="00646379">
        <w:rPr>
          <w:highlight w:val="yellow"/>
        </w:rPr>
        <w:br w:type="page"/>
      </w:r>
    </w:p>
    <w:sdt>
      <w:sdtPr>
        <w:rPr>
          <w:rFonts w:ascii="Times New Roman" w:eastAsia="Times New Roman" w:hAnsi="Times New Roman" w:cs="Times New Roman"/>
          <w:b w:val="0"/>
          <w:bCs w:val="0"/>
          <w:i w:val="0"/>
          <w:iCs w:val="0"/>
          <w:sz w:val="24"/>
          <w:szCs w:val="24"/>
          <w:highlight w:val="yellow"/>
        </w:rPr>
        <w:id w:val="21833588"/>
        <w:docPartObj>
          <w:docPartGallery w:val="Table of Contents"/>
          <w:docPartUnique/>
        </w:docPartObj>
      </w:sdtPr>
      <w:sdtEndPr>
        <w:rPr>
          <w:highlight w:val="none"/>
        </w:rPr>
      </w:sdtEndPr>
      <w:sdtContent>
        <w:p w14:paraId="7D786727" w14:textId="7B41275B" w:rsidR="00A93B3D" w:rsidRPr="00646379" w:rsidRDefault="00A93B3D" w:rsidP="0012283D">
          <w:pPr>
            <w:pStyle w:val="Hlavikaobsahu"/>
            <w:tabs>
              <w:tab w:val="left" w:pos="8235"/>
            </w:tabs>
          </w:pPr>
          <w:r w:rsidRPr="00646379">
            <w:rPr>
              <w:i w:val="0"/>
            </w:rPr>
            <w:t>O</w:t>
          </w:r>
          <w:r w:rsidR="00D911A3" w:rsidRPr="00646379">
            <w:rPr>
              <w:i w:val="0"/>
            </w:rPr>
            <w:t>BSAH</w:t>
          </w:r>
          <w:r w:rsidR="0012283D">
            <w:tab/>
          </w:r>
        </w:p>
        <w:p w14:paraId="239911C6" w14:textId="7838BFA8" w:rsidR="00467FCC" w:rsidRDefault="004D7721">
          <w:pPr>
            <w:pStyle w:val="Obsah1"/>
            <w:tabs>
              <w:tab w:val="left" w:pos="480"/>
              <w:tab w:val="right" w:leader="dot" w:pos="9062"/>
            </w:tabs>
            <w:rPr>
              <w:rFonts w:asciiTheme="minorHAnsi" w:eastAsiaTheme="minorEastAsia" w:hAnsiTheme="minorHAnsi" w:cstheme="minorBidi"/>
              <w:noProof/>
              <w:sz w:val="22"/>
              <w:szCs w:val="22"/>
            </w:rPr>
          </w:pPr>
          <w:r w:rsidRPr="00646379">
            <w:fldChar w:fldCharType="begin"/>
          </w:r>
          <w:r w:rsidR="00A93B3D" w:rsidRPr="00646379">
            <w:instrText xml:space="preserve"> TOC \o "1-3" \h \z \u </w:instrText>
          </w:r>
          <w:r w:rsidRPr="00646379">
            <w:fldChar w:fldCharType="separate"/>
          </w:r>
          <w:hyperlink w:anchor="_Toc31615189" w:history="1">
            <w:r w:rsidR="00467FCC" w:rsidRPr="001F2746">
              <w:rPr>
                <w:rStyle w:val="Hypertextovprepojenie"/>
                <w:noProof/>
              </w:rPr>
              <w:t>I.</w:t>
            </w:r>
            <w:r w:rsidR="00467FCC">
              <w:rPr>
                <w:rFonts w:asciiTheme="minorHAnsi" w:eastAsiaTheme="minorEastAsia" w:hAnsiTheme="minorHAnsi" w:cstheme="minorBidi"/>
                <w:noProof/>
                <w:sz w:val="22"/>
                <w:szCs w:val="22"/>
              </w:rPr>
              <w:tab/>
            </w:r>
            <w:r w:rsidR="00467FCC" w:rsidRPr="001F2746">
              <w:rPr>
                <w:rStyle w:val="Hypertextovprepojenie"/>
                <w:noProof/>
              </w:rPr>
              <w:t>ÚDAJE O NAVRHOVATEĽOVI</w:t>
            </w:r>
            <w:r w:rsidR="00467FCC">
              <w:rPr>
                <w:noProof/>
                <w:webHidden/>
              </w:rPr>
              <w:tab/>
            </w:r>
            <w:r w:rsidR="00467FCC">
              <w:rPr>
                <w:rStyle w:val="Hypertextovprepojenie"/>
                <w:noProof/>
              </w:rPr>
              <w:fldChar w:fldCharType="begin"/>
            </w:r>
            <w:r w:rsidR="00467FCC">
              <w:rPr>
                <w:noProof/>
                <w:webHidden/>
              </w:rPr>
              <w:instrText xml:space="preserve"> PAGEREF _Toc31615189 \h </w:instrText>
            </w:r>
            <w:r w:rsidR="00467FCC">
              <w:rPr>
                <w:rStyle w:val="Hypertextovprepojenie"/>
                <w:noProof/>
              </w:rPr>
            </w:r>
            <w:r w:rsidR="00467FCC">
              <w:rPr>
                <w:rStyle w:val="Hypertextovprepojenie"/>
                <w:noProof/>
              </w:rPr>
              <w:fldChar w:fldCharType="separate"/>
            </w:r>
            <w:r w:rsidR="00467FCC">
              <w:rPr>
                <w:noProof/>
                <w:webHidden/>
              </w:rPr>
              <w:t>3</w:t>
            </w:r>
            <w:r w:rsidR="00467FCC">
              <w:rPr>
                <w:rStyle w:val="Hypertextovprepojenie"/>
                <w:noProof/>
              </w:rPr>
              <w:fldChar w:fldCharType="end"/>
            </w:r>
          </w:hyperlink>
        </w:p>
        <w:p w14:paraId="424B8F7A" w14:textId="3BA81E6F"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0" w:history="1">
            <w:r w:rsidR="00467FCC" w:rsidRPr="001F2746">
              <w:rPr>
                <w:rStyle w:val="Hypertextovprepojenie"/>
                <w:noProof/>
              </w:rPr>
              <w:t>1.</w:t>
            </w:r>
            <w:r w:rsidR="00467FCC">
              <w:rPr>
                <w:rFonts w:asciiTheme="minorHAnsi" w:eastAsiaTheme="minorEastAsia" w:hAnsiTheme="minorHAnsi" w:cstheme="minorBidi"/>
                <w:noProof/>
                <w:sz w:val="22"/>
                <w:szCs w:val="22"/>
              </w:rPr>
              <w:tab/>
            </w:r>
            <w:r w:rsidR="00467FCC" w:rsidRPr="001F2746">
              <w:rPr>
                <w:rStyle w:val="Hypertextovprepojenie"/>
                <w:noProof/>
              </w:rPr>
              <w:t>Názov (meno)</w:t>
            </w:r>
            <w:r w:rsidR="00467FCC">
              <w:rPr>
                <w:noProof/>
                <w:webHidden/>
              </w:rPr>
              <w:tab/>
            </w:r>
            <w:r w:rsidR="00467FCC">
              <w:rPr>
                <w:rStyle w:val="Hypertextovprepojenie"/>
                <w:noProof/>
              </w:rPr>
              <w:fldChar w:fldCharType="begin"/>
            </w:r>
            <w:r w:rsidR="00467FCC">
              <w:rPr>
                <w:noProof/>
                <w:webHidden/>
              </w:rPr>
              <w:instrText xml:space="preserve"> PAGEREF _Toc31615190 \h </w:instrText>
            </w:r>
            <w:r w:rsidR="00467FCC">
              <w:rPr>
                <w:rStyle w:val="Hypertextovprepojenie"/>
                <w:noProof/>
              </w:rPr>
            </w:r>
            <w:r w:rsidR="00467FCC">
              <w:rPr>
                <w:rStyle w:val="Hypertextovprepojenie"/>
                <w:noProof/>
              </w:rPr>
              <w:fldChar w:fldCharType="separate"/>
            </w:r>
            <w:r w:rsidR="00467FCC">
              <w:rPr>
                <w:noProof/>
                <w:webHidden/>
              </w:rPr>
              <w:t>3</w:t>
            </w:r>
            <w:r w:rsidR="00467FCC">
              <w:rPr>
                <w:rStyle w:val="Hypertextovprepojenie"/>
                <w:noProof/>
              </w:rPr>
              <w:fldChar w:fldCharType="end"/>
            </w:r>
          </w:hyperlink>
        </w:p>
        <w:p w14:paraId="67CC1E26" w14:textId="4F2D59B8"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1" w:history="1">
            <w:r w:rsidR="00467FCC" w:rsidRPr="001F2746">
              <w:rPr>
                <w:rStyle w:val="Hypertextovprepojenie"/>
                <w:noProof/>
              </w:rPr>
              <w:t>2.</w:t>
            </w:r>
            <w:r w:rsidR="00467FCC">
              <w:rPr>
                <w:rFonts w:asciiTheme="minorHAnsi" w:eastAsiaTheme="minorEastAsia" w:hAnsiTheme="minorHAnsi" w:cstheme="minorBidi"/>
                <w:noProof/>
                <w:sz w:val="22"/>
                <w:szCs w:val="22"/>
              </w:rPr>
              <w:tab/>
            </w:r>
            <w:r w:rsidR="00467FCC" w:rsidRPr="001F2746">
              <w:rPr>
                <w:rStyle w:val="Hypertextovprepojenie"/>
                <w:noProof/>
              </w:rPr>
              <w:t>Identifikačné číslo</w:t>
            </w:r>
            <w:r w:rsidR="00467FCC">
              <w:rPr>
                <w:noProof/>
                <w:webHidden/>
              </w:rPr>
              <w:tab/>
            </w:r>
            <w:r w:rsidR="00467FCC">
              <w:rPr>
                <w:rStyle w:val="Hypertextovprepojenie"/>
                <w:noProof/>
              </w:rPr>
              <w:fldChar w:fldCharType="begin"/>
            </w:r>
            <w:r w:rsidR="00467FCC">
              <w:rPr>
                <w:noProof/>
                <w:webHidden/>
              </w:rPr>
              <w:instrText xml:space="preserve"> PAGEREF _Toc31615191 \h </w:instrText>
            </w:r>
            <w:r w:rsidR="00467FCC">
              <w:rPr>
                <w:rStyle w:val="Hypertextovprepojenie"/>
                <w:noProof/>
              </w:rPr>
            </w:r>
            <w:r w:rsidR="00467FCC">
              <w:rPr>
                <w:rStyle w:val="Hypertextovprepojenie"/>
                <w:noProof/>
              </w:rPr>
              <w:fldChar w:fldCharType="separate"/>
            </w:r>
            <w:r w:rsidR="00467FCC">
              <w:rPr>
                <w:noProof/>
                <w:webHidden/>
              </w:rPr>
              <w:t>3</w:t>
            </w:r>
            <w:r w:rsidR="00467FCC">
              <w:rPr>
                <w:rStyle w:val="Hypertextovprepojenie"/>
                <w:noProof/>
              </w:rPr>
              <w:fldChar w:fldCharType="end"/>
            </w:r>
          </w:hyperlink>
        </w:p>
        <w:p w14:paraId="1CAD880D" w14:textId="6681EB44"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2" w:history="1">
            <w:r w:rsidR="00467FCC" w:rsidRPr="001F2746">
              <w:rPr>
                <w:rStyle w:val="Hypertextovprepojenie"/>
                <w:noProof/>
              </w:rPr>
              <w:t>3.</w:t>
            </w:r>
            <w:r w:rsidR="00467FCC">
              <w:rPr>
                <w:rFonts w:asciiTheme="minorHAnsi" w:eastAsiaTheme="minorEastAsia" w:hAnsiTheme="minorHAnsi" w:cstheme="minorBidi"/>
                <w:noProof/>
                <w:sz w:val="22"/>
                <w:szCs w:val="22"/>
              </w:rPr>
              <w:tab/>
            </w:r>
            <w:r w:rsidR="00467FCC" w:rsidRPr="001F2746">
              <w:rPr>
                <w:rStyle w:val="Hypertextovprepojenie"/>
                <w:noProof/>
              </w:rPr>
              <w:t>Sídlo</w:t>
            </w:r>
            <w:r w:rsidR="00467FCC">
              <w:rPr>
                <w:noProof/>
                <w:webHidden/>
              </w:rPr>
              <w:tab/>
            </w:r>
            <w:r w:rsidR="00467FCC">
              <w:rPr>
                <w:rStyle w:val="Hypertextovprepojenie"/>
                <w:noProof/>
              </w:rPr>
              <w:fldChar w:fldCharType="begin"/>
            </w:r>
            <w:r w:rsidR="00467FCC">
              <w:rPr>
                <w:noProof/>
                <w:webHidden/>
              </w:rPr>
              <w:instrText xml:space="preserve"> PAGEREF _Toc31615192 \h </w:instrText>
            </w:r>
            <w:r w:rsidR="00467FCC">
              <w:rPr>
                <w:rStyle w:val="Hypertextovprepojenie"/>
                <w:noProof/>
              </w:rPr>
            </w:r>
            <w:r w:rsidR="00467FCC">
              <w:rPr>
                <w:rStyle w:val="Hypertextovprepojenie"/>
                <w:noProof/>
              </w:rPr>
              <w:fldChar w:fldCharType="separate"/>
            </w:r>
            <w:r w:rsidR="00467FCC">
              <w:rPr>
                <w:noProof/>
                <w:webHidden/>
              </w:rPr>
              <w:t>3</w:t>
            </w:r>
            <w:r w:rsidR="00467FCC">
              <w:rPr>
                <w:rStyle w:val="Hypertextovprepojenie"/>
                <w:noProof/>
              </w:rPr>
              <w:fldChar w:fldCharType="end"/>
            </w:r>
          </w:hyperlink>
        </w:p>
        <w:p w14:paraId="484911F2" w14:textId="52949C02"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3" w:history="1">
            <w:r w:rsidR="00467FCC" w:rsidRPr="001F2746">
              <w:rPr>
                <w:rStyle w:val="Hypertextovprepojenie"/>
                <w:noProof/>
              </w:rPr>
              <w:t>4.</w:t>
            </w:r>
            <w:r w:rsidR="00467FCC">
              <w:rPr>
                <w:rFonts w:asciiTheme="minorHAnsi" w:eastAsiaTheme="minorEastAsia" w:hAnsiTheme="minorHAnsi" w:cstheme="minorBidi"/>
                <w:noProof/>
                <w:sz w:val="22"/>
                <w:szCs w:val="22"/>
              </w:rPr>
              <w:tab/>
            </w:r>
            <w:r w:rsidR="00467FCC" w:rsidRPr="001F2746">
              <w:rPr>
                <w:rStyle w:val="Hypertextovprepojenie"/>
                <w:noProof/>
              </w:rPr>
              <w:t>Meno, priezvisko, adresa, telefónne číslo a iné kontaktné údaje oprávneného zástupcu navrhovateľa</w:t>
            </w:r>
            <w:r w:rsidR="00467FCC">
              <w:rPr>
                <w:noProof/>
                <w:webHidden/>
              </w:rPr>
              <w:tab/>
            </w:r>
            <w:r w:rsidR="00467FCC">
              <w:rPr>
                <w:rStyle w:val="Hypertextovprepojenie"/>
                <w:noProof/>
              </w:rPr>
              <w:fldChar w:fldCharType="begin"/>
            </w:r>
            <w:r w:rsidR="00467FCC">
              <w:rPr>
                <w:noProof/>
                <w:webHidden/>
              </w:rPr>
              <w:instrText xml:space="preserve"> PAGEREF _Toc31615193 \h </w:instrText>
            </w:r>
            <w:r w:rsidR="00467FCC">
              <w:rPr>
                <w:rStyle w:val="Hypertextovprepojenie"/>
                <w:noProof/>
              </w:rPr>
            </w:r>
            <w:r w:rsidR="00467FCC">
              <w:rPr>
                <w:rStyle w:val="Hypertextovprepojenie"/>
                <w:noProof/>
              </w:rPr>
              <w:fldChar w:fldCharType="separate"/>
            </w:r>
            <w:r w:rsidR="00467FCC">
              <w:rPr>
                <w:noProof/>
                <w:webHidden/>
              </w:rPr>
              <w:t>3</w:t>
            </w:r>
            <w:r w:rsidR="00467FCC">
              <w:rPr>
                <w:rStyle w:val="Hypertextovprepojenie"/>
                <w:noProof/>
              </w:rPr>
              <w:fldChar w:fldCharType="end"/>
            </w:r>
          </w:hyperlink>
        </w:p>
        <w:p w14:paraId="364245BC" w14:textId="4ADCABBA"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4" w:history="1">
            <w:r w:rsidR="00467FCC" w:rsidRPr="001F2746">
              <w:rPr>
                <w:rStyle w:val="Hypertextovprepojenie"/>
                <w:noProof/>
              </w:rPr>
              <w:t>5.</w:t>
            </w:r>
            <w:r w:rsidR="00467FCC">
              <w:rPr>
                <w:rFonts w:asciiTheme="minorHAnsi" w:eastAsiaTheme="minorEastAsia" w:hAnsiTheme="minorHAnsi" w:cstheme="minorBidi"/>
                <w:noProof/>
                <w:sz w:val="22"/>
                <w:szCs w:val="22"/>
              </w:rPr>
              <w:tab/>
            </w:r>
            <w:r w:rsidR="00467FCC" w:rsidRPr="001F2746">
              <w:rPr>
                <w:rStyle w:val="Hypertextovprepojenie"/>
                <w:noProof/>
              </w:rPr>
              <w:t>Meno, priezvisko, adresa, telefónne číslo a iné kontaktné údaje osoby, od ktorej možno dostať relevantné informácie o navrhovanej činnosti a miesto na konzultácie</w:t>
            </w:r>
            <w:r w:rsidR="00467FCC">
              <w:rPr>
                <w:noProof/>
                <w:webHidden/>
              </w:rPr>
              <w:tab/>
            </w:r>
            <w:r w:rsidR="00467FCC">
              <w:rPr>
                <w:rStyle w:val="Hypertextovprepojenie"/>
                <w:noProof/>
              </w:rPr>
              <w:fldChar w:fldCharType="begin"/>
            </w:r>
            <w:r w:rsidR="00467FCC">
              <w:rPr>
                <w:noProof/>
                <w:webHidden/>
              </w:rPr>
              <w:instrText xml:space="preserve"> PAGEREF _Toc31615194 \h </w:instrText>
            </w:r>
            <w:r w:rsidR="00467FCC">
              <w:rPr>
                <w:rStyle w:val="Hypertextovprepojenie"/>
                <w:noProof/>
              </w:rPr>
            </w:r>
            <w:r w:rsidR="00467FCC">
              <w:rPr>
                <w:rStyle w:val="Hypertextovprepojenie"/>
                <w:noProof/>
              </w:rPr>
              <w:fldChar w:fldCharType="separate"/>
            </w:r>
            <w:r w:rsidR="00467FCC">
              <w:rPr>
                <w:noProof/>
                <w:webHidden/>
              </w:rPr>
              <w:t>3</w:t>
            </w:r>
            <w:r w:rsidR="00467FCC">
              <w:rPr>
                <w:rStyle w:val="Hypertextovprepojenie"/>
                <w:noProof/>
              </w:rPr>
              <w:fldChar w:fldCharType="end"/>
            </w:r>
          </w:hyperlink>
        </w:p>
        <w:p w14:paraId="277A0874" w14:textId="43E53FE8" w:rsidR="00467FCC" w:rsidRDefault="00640CD3">
          <w:pPr>
            <w:pStyle w:val="Obsah1"/>
            <w:tabs>
              <w:tab w:val="left" w:pos="480"/>
              <w:tab w:val="right" w:leader="dot" w:pos="9062"/>
            </w:tabs>
            <w:rPr>
              <w:rFonts w:asciiTheme="minorHAnsi" w:eastAsiaTheme="minorEastAsia" w:hAnsiTheme="minorHAnsi" w:cstheme="minorBidi"/>
              <w:noProof/>
              <w:sz w:val="22"/>
              <w:szCs w:val="22"/>
            </w:rPr>
          </w:pPr>
          <w:hyperlink w:anchor="_Toc31615195" w:history="1">
            <w:r w:rsidR="00467FCC" w:rsidRPr="001F2746">
              <w:rPr>
                <w:rStyle w:val="Hypertextovprepojenie"/>
                <w:noProof/>
              </w:rPr>
              <w:t>II.</w:t>
            </w:r>
            <w:r w:rsidR="00467FCC">
              <w:rPr>
                <w:rFonts w:asciiTheme="minorHAnsi" w:eastAsiaTheme="minorEastAsia" w:hAnsiTheme="minorHAnsi" w:cstheme="minorBidi"/>
                <w:noProof/>
                <w:sz w:val="22"/>
                <w:szCs w:val="22"/>
              </w:rPr>
              <w:tab/>
            </w:r>
            <w:r w:rsidR="00467FCC" w:rsidRPr="001F2746">
              <w:rPr>
                <w:rStyle w:val="Hypertextovprepojenie"/>
                <w:noProof/>
              </w:rPr>
              <w:t>NÁZOV ZMENY NAVRHOVANEJ ČINNOSTI</w:t>
            </w:r>
            <w:r w:rsidR="00467FCC">
              <w:rPr>
                <w:noProof/>
                <w:webHidden/>
              </w:rPr>
              <w:tab/>
            </w:r>
            <w:r w:rsidR="00467FCC">
              <w:rPr>
                <w:rStyle w:val="Hypertextovprepojenie"/>
                <w:noProof/>
              </w:rPr>
              <w:fldChar w:fldCharType="begin"/>
            </w:r>
            <w:r w:rsidR="00467FCC">
              <w:rPr>
                <w:noProof/>
                <w:webHidden/>
              </w:rPr>
              <w:instrText xml:space="preserve"> PAGEREF _Toc31615195 \h </w:instrText>
            </w:r>
            <w:r w:rsidR="00467FCC">
              <w:rPr>
                <w:rStyle w:val="Hypertextovprepojenie"/>
                <w:noProof/>
              </w:rPr>
            </w:r>
            <w:r w:rsidR="00467FCC">
              <w:rPr>
                <w:rStyle w:val="Hypertextovprepojenie"/>
                <w:noProof/>
              </w:rPr>
              <w:fldChar w:fldCharType="separate"/>
            </w:r>
            <w:r w:rsidR="00467FCC">
              <w:rPr>
                <w:noProof/>
                <w:webHidden/>
              </w:rPr>
              <w:t>3</w:t>
            </w:r>
            <w:r w:rsidR="00467FCC">
              <w:rPr>
                <w:rStyle w:val="Hypertextovprepojenie"/>
                <w:noProof/>
              </w:rPr>
              <w:fldChar w:fldCharType="end"/>
            </w:r>
          </w:hyperlink>
        </w:p>
        <w:p w14:paraId="0FA304BD" w14:textId="0DD833E0" w:rsidR="00467FCC" w:rsidRDefault="00640CD3">
          <w:pPr>
            <w:pStyle w:val="Obsah1"/>
            <w:tabs>
              <w:tab w:val="left" w:pos="660"/>
              <w:tab w:val="right" w:leader="dot" w:pos="9062"/>
            </w:tabs>
            <w:rPr>
              <w:rFonts w:asciiTheme="minorHAnsi" w:eastAsiaTheme="minorEastAsia" w:hAnsiTheme="minorHAnsi" w:cstheme="minorBidi"/>
              <w:noProof/>
              <w:sz w:val="22"/>
              <w:szCs w:val="22"/>
            </w:rPr>
          </w:pPr>
          <w:hyperlink w:anchor="_Toc31615196" w:history="1">
            <w:r w:rsidR="00467FCC" w:rsidRPr="001F2746">
              <w:rPr>
                <w:rStyle w:val="Hypertextovprepojenie"/>
                <w:noProof/>
              </w:rPr>
              <w:t>III.</w:t>
            </w:r>
            <w:r w:rsidR="00467FCC">
              <w:rPr>
                <w:rFonts w:asciiTheme="minorHAnsi" w:eastAsiaTheme="minorEastAsia" w:hAnsiTheme="minorHAnsi" w:cstheme="minorBidi"/>
                <w:noProof/>
                <w:sz w:val="22"/>
                <w:szCs w:val="22"/>
              </w:rPr>
              <w:tab/>
            </w:r>
            <w:r w:rsidR="00467FCC" w:rsidRPr="001F2746">
              <w:rPr>
                <w:rStyle w:val="Hypertextovprepojenie"/>
                <w:noProof/>
              </w:rPr>
              <w:t>ÚDAJE O ZMENE NAVRHOVANEJ ČINNOSTI</w:t>
            </w:r>
            <w:r w:rsidR="00467FCC">
              <w:rPr>
                <w:noProof/>
                <w:webHidden/>
              </w:rPr>
              <w:tab/>
            </w:r>
            <w:r w:rsidR="00467FCC">
              <w:rPr>
                <w:rStyle w:val="Hypertextovprepojenie"/>
                <w:noProof/>
              </w:rPr>
              <w:fldChar w:fldCharType="begin"/>
            </w:r>
            <w:r w:rsidR="00467FCC">
              <w:rPr>
                <w:noProof/>
                <w:webHidden/>
              </w:rPr>
              <w:instrText xml:space="preserve"> PAGEREF _Toc31615196 \h </w:instrText>
            </w:r>
            <w:r w:rsidR="00467FCC">
              <w:rPr>
                <w:rStyle w:val="Hypertextovprepojenie"/>
                <w:noProof/>
              </w:rPr>
            </w:r>
            <w:r w:rsidR="00467FCC">
              <w:rPr>
                <w:rStyle w:val="Hypertextovprepojenie"/>
                <w:noProof/>
              </w:rPr>
              <w:fldChar w:fldCharType="separate"/>
            </w:r>
            <w:r w:rsidR="00467FCC">
              <w:rPr>
                <w:noProof/>
                <w:webHidden/>
              </w:rPr>
              <w:t>4</w:t>
            </w:r>
            <w:r w:rsidR="00467FCC">
              <w:rPr>
                <w:rStyle w:val="Hypertextovprepojenie"/>
                <w:noProof/>
              </w:rPr>
              <w:fldChar w:fldCharType="end"/>
            </w:r>
          </w:hyperlink>
        </w:p>
        <w:p w14:paraId="7BF97BC8" w14:textId="75E127E5"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7" w:history="1">
            <w:r w:rsidR="00467FCC" w:rsidRPr="001F2746">
              <w:rPr>
                <w:rStyle w:val="Hypertextovprepojenie"/>
                <w:noProof/>
              </w:rPr>
              <w:t>1.</w:t>
            </w:r>
            <w:r w:rsidR="00467FCC">
              <w:rPr>
                <w:rFonts w:asciiTheme="minorHAnsi" w:eastAsiaTheme="minorEastAsia" w:hAnsiTheme="minorHAnsi" w:cstheme="minorBidi"/>
                <w:noProof/>
                <w:sz w:val="22"/>
                <w:szCs w:val="22"/>
              </w:rPr>
              <w:tab/>
            </w:r>
            <w:r w:rsidR="00467FCC" w:rsidRPr="001F2746">
              <w:rPr>
                <w:rStyle w:val="Hypertextovprepojenie"/>
                <w:noProof/>
              </w:rPr>
              <w:t>Umiestnenie navrhovanej činnosti</w:t>
            </w:r>
            <w:r w:rsidR="00467FCC">
              <w:rPr>
                <w:noProof/>
                <w:webHidden/>
              </w:rPr>
              <w:tab/>
            </w:r>
            <w:r w:rsidR="00467FCC">
              <w:rPr>
                <w:rStyle w:val="Hypertextovprepojenie"/>
                <w:noProof/>
              </w:rPr>
              <w:fldChar w:fldCharType="begin"/>
            </w:r>
            <w:r w:rsidR="00467FCC">
              <w:rPr>
                <w:noProof/>
                <w:webHidden/>
              </w:rPr>
              <w:instrText xml:space="preserve"> PAGEREF _Toc31615197 \h </w:instrText>
            </w:r>
            <w:r w:rsidR="00467FCC">
              <w:rPr>
                <w:rStyle w:val="Hypertextovprepojenie"/>
                <w:noProof/>
              </w:rPr>
            </w:r>
            <w:r w:rsidR="00467FCC">
              <w:rPr>
                <w:rStyle w:val="Hypertextovprepojenie"/>
                <w:noProof/>
              </w:rPr>
              <w:fldChar w:fldCharType="separate"/>
            </w:r>
            <w:r w:rsidR="00467FCC">
              <w:rPr>
                <w:noProof/>
                <w:webHidden/>
              </w:rPr>
              <w:t>4</w:t>
            </w:r>
            <w:r w:rsidR="00467FCC">
              <w:rPr>
                <w:rStyle w:val="Hypertextovprepojenie"/>
                <w:noProof/>
              </w:rPr>
              <w:fldChar w:fldCharType="end"/>
            </w:r>
          </w:hyperlink>
        </w:p>
        <w:p w14:paraId="2D0E9F8B" w14:textId="0C73E91C"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8" w:history="1">
            <w:r w:rsidR="00467FCC" w:rsidRPr="001F2746">
              <w:rPr>
                <w:rStyle w:val="Hypertextovprepojenie"/>
                <w:noProof/>
              </w:rPr>
              <w:t>2.</w:t>
            </w:r>
            <w:r w:rsidR="00467FCC">
              <w:rPr>
                <w:rFonts w:asciiTheme="minorHAnsi" w:eastAsiaTheme="minorEastAsia" w:hAnsiTheme="minorHAnsi" w:cstheme="minorBidi"/>
                <w:noProof/>
                <w:sz w:val="22"/>
                <w:szCs w:val="22"/>
              </w:rPr>
              <w:tab/>
            </w:r>
            <w:r w:rsidR="00467FCC" w:rsidRPr="001F2746">
              <w:rPr>
                <w:rStyle w:val="Hypertextovprepojenie"/>
                <w:noProof/>
              </w:rPr>
              <w:t>Stručný opis technického a technologického riešenia vrátane požiadaviek na vstupy a údajov o výstupoch</w:t>
            </w:r>
            <w:r w:rsidR="00467FCC">
              <w:rPr>
                <w:noProof/>
                <w:webHidden/>
              </w:rPr>
              <w:tab/>
            </w:r>
            <w:r w:rsidR="00467FCC">
              <w:rPr>
                <w:rStyle w:val="Hypertextovprepojenie"/>
                <w:noProof/>
              </w:rPr>
              <w:fldChar w:fldCharType="begin"/>
            </w:r>
            <w:r w:rsidR="00467FCC">
              <w:rPr>
                <w:noProof/>
                <w:webHidden/>
              </w:rPr>
              <w:instrText xml:space="preserve"> PAGEREF _Toc31615198 \h </w:instrText>
            </w:r>
            <w:r w:rsidR="00467FCC">
              <w:rPr>
                <w:rStyle w:val="Hypertextovprepojenie"/>
                <w:noProof/>
              </w:rPr>
            </w:r>
            <w:r w:rsidR="00467FCC">
              <w:rPr>
                <w:rStyle w:val="Hypertextovprepojenie"/>
                <w:noProof/>
              </w:rPr>
              <w:fldChar w:fldCharType="separate"/>
            </w:r>
            <w:r w:rsidR="00467FCC">
              <w:rPr>
                <w:noProof/>
                <w:webHidden/>
              </w:rPr>
              <w:t>4</w:t>
            </w:r>
            <w:r w:rsidR="00467FCC">
              <w:rPr>
                <w:rStyle w:val="Hypertextovprepojenie"/>
                <w:noProof/>
              </w:rPr>
              <w:fldChar w:fldCharType="end"/>
            </w:r>
          </w:hyperlink>
        </w:p>
        <w:p w14:paraId="250B62F3" w14:textId="3B5210E5"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199" w:history="1">
            <w:r w:rsidR="00467FCC" w:rsidRPr="001F2746">
              <w:rPr>
                <w:rStyle w:val="Hypertextovprepojenie"/>
                <w:noProof/>
              </w:rPr>
              <w:t>3.</w:t>
            </w:r>
            <w:r w:rsidR="00467FCC">
              <w:rPr>
                <w:rFonts w:asciiTheme="minorHAnsi" w:eastAsiaTheme="minorEastAsia" w:hAnsiTheme="minorHAnsi" w:cstheme="minorBidi"/>
                <w:noProof/>
                <w:sz w:val="22"/>
                <w:szCs w:val="22"/>
              </w:rPr>
              <w:tab/>
            </w:r>
            <w:r w:rsidR="00467FCC" w:rsidRPr="001F2746">
              <w:rPr>
                <w:rStyle w:val="Hypertextovprepojenie"/>
                <w:noProof/>
              </w:rPr>
              <w:t>Prepojenie s ostatnými plánovanými a realizovanými činnosťami v dotknutom území a možné riziká havárií vzhľadom na použité látky a technológie</w:t>
            </w:r>
            <w:r w:rsidR="00467FCC">
              <w:rPr>
                <w:noProof/>
                <w:webHidden/>
              </w:rPr>
              <w:tab/>
            </w:r>
            <w:r w:rsidR="00467FCC">
              <w:rPr>
                <w:rStyle w:val="Hypertextovprepojenie"/>
                <w:noProof/>
              </w:rPr>
              <w:fldChar w:fldCharType="begin"/>
            </w:r>
            <w:r w:rsidR="00467FCC">
              <w:rPr>
                <w:noProof/>
                <w:webHidden/>
              </w:rPr>
              <w:instrText xml:space="preserve"> PAGEREF _Toc31615199 \h </w:instrText>
            </w:r>
            <w:r w:rsidR="00467FCC">
              <w:rPr>
                <w:rStyle w:val="Hypertextovprepojenie"/>
                <w:noProof/>
              </w:rPr>
            </w:r>
            <w:r w:rsidR="00467FCC">
              <w:rPr>
                <w:rStyle w:val="Hypertextovprepojenie"/>
                <w:noProof/>
              </w:rPr>
              <w:fldChar w:fldCharType="separate"/>
            </w:r>
            <w:r w:rsidR="00467FCC">
              <w:rPr>
                <w:noProof/>
                <w:webHidden/>
              </w:rPr>
              <w:t>16</w:t>
            </w:r>
            <w:r w:rsidR="00467FCC">
              <w:rPr>
                <w:rStyle w:val="Hypertextovprepojenie"/>
                <w:noProof/>
              </w:rPr>
              <w:fldChar w:fldCharType="end"/>
            </w:r>
          </w:hyperlink>
        </w:p>
        <w:p w14:paraId="40DFDABF" w14:textId="47E7228F"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200" w:history="1">
            <w:r w:rsidR="00467FCC" w:rsidRPr="001F2746">
              <w:rPr>
                <w:rStyle w:val="Hypertextovprepojenie"/>
                <w:noProof/>
              </w:rPr>
              <w:t>4.</w:t>
            </w:r>
            <w:r w:rsidR="00467FCC">
              <w:rPr>
                <w:rFonts w:asciiTheme="minorHAnsi" w:eastAsiaTheme="minorEastAsia" w:hAnsiTheme="minorHAnsi" w:cstheme="minorBidi"/>
                <w:noProof/>
                <w:sz w:val="22"/>
                <w:szCs w:val="22"/>
              </w:rPr>
              <w:tab/>
            </w:r>
            <w:r w:rsidR="00467FCC" w:rsidRPr="001F2746">
              <w:rPr>
                <w:rStyle w:val="Hypertextovprepojenie"/>
                <w:noProof/>
              </w:rPr>
              <w:t>Druh požadovaného povolenia navrhovanej činnosti podľa osobitných predpisov</w:t>
            </w:r>
            <w:r w:rsidR="00467FCC">
              <w:rPr>
                <w:noProof/>
                <w:webHidden/>
              </w:rPr>
              <w:tab/>
            </w:r>
            <w:r w:rsidR="00467FCC">
              <w:rPr>
                <w:rStyle w:val="Hypertextovprepojenie"/>
                <w:noProof/>
              </w:rPr>
              <w:fldChar w:fldCharType="begin"/>
            </w:r>
            <w:r w:rsidR="00467FCC">
              <w:rPr>
                <w:noProof/>
                <w:webHidden/>
              </w:rPr>
              <w:instrText xml:space="preserve"> PAGEREF _Toc31615200 \h </w:instrText>
            </w:r>
            <w:r w:rsidR="00467FCC">
              <w:rPr>
                <w:rStyle w:val="Hypertextovprepojenie"/>
                <w:noProof/>
              </w:rPr>
            </w:r>
            <w:r w:rsidR="00467FCC">
              <w:rPr>
                <w:rStyle w:val="Hypertextovprepojenie"/>
                <w:noProof/>
              </w:rPr>
              <w:fldChar w:fldCharType="separate"/>
            </w:r>
            <w:r w:rsidR="00467FCC">
              <w:rPr>
                <w:noProof/>
                <w:webHidden/>
              </w:rPr>
              <w:t>17</w:t>
            </w:r>
            <w:r w:rsidR="00467FCC">
              <w:rPr>
                <w:rStyle w:val="Hypertextovprepojenie"/>
                <w:noProof/>
              </w:rPr>
              <w:fldChar w:fldCharType="end"/>
            </w:r>
          </w:hyperlink>
        </w:p>
        <w:p w14:paraId="66D79C63" w14:textId="2A230C92"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201" w:history="1">
            <w:r w:rsidR="00467FCC" w:rsidRPr="001F2746">
              <w:rPr>
                <w:rStyle w:val="Hypertextovprepojenie"/>
                <w:noProof/>
              </w:rPr>
              <w:t>5.</w:t>
            </w:r>
            <w:r w:rsidR="00467FCC">
              <w:rPr>
                <w:rFonts w:asciiTheme="minorHAnsi" w:eastAsiaTheme="minorEastAsia" w:hAnsiTheme="minorHAnsi" w:cstheme="minorBidi"/>
                <w:noProof/>
                <w:sz w:val="22"/>
                <w:szCs w:val="22"/>
              </w:rPr>
              <w:tab/>
            </w:r>
            <w:r w:rsidR="00467FCC" w:rsidRPr="001F2746">
              <w:rPr>
                <w:rStyle w:val="Hypertextovprepojenie"/>
                <w:noProof/>
              </w:rPr>
              <w:t>Vyjadrenie o predpokladaných vplyvoch zmeny navrhovanej činnosti presahujúcich štátne hranice</w:t>
            </w:r>
            <w:r w:rsidR="00467FCC">
              <w:rPr>
                <w:noProof/>
                <w:webHidden/>
              </w:rPr>
              <w:tab/>
            </w:r>
            <w:r w:rsidR="00467FCC">
              <w:rPr>
                <w:rStyle w:val="Hypertextovprepojenie"/>
                <w:noProof/>
              </w:rPr>
              <w:fldChar w:fldCharType="begin"/>
            </w:r>
            <w:r w:rsidR="00467FCC">
              <w:rPr>
                <w:noProof/>
                <w:webHidden/>
              </w:rPr>
              <w:instrText xml:space="preserve"> PAGEREF _Toc31615201 \h </w:instrText>
            </w:r>
            <w:r w:rsidR="00467FCC">
              <w:rPr>
                <w:rStyle w:val="Hypertextovprepojenie"/>
                <w:noProof/>
              </w:rPr>
            </w:r>
            <w:r w:rsidR="00467FCC">
              <w:rPr>
                <w:rStyle w:val="Hypertextovprepojenie"/>
                <w:noProof/>
              </w:rPr>
              <w:fldChar w:fldCharType="separate"/>
            </w:r>
            <w:r w:rsidR="00467FCC">
              <w:rPr>
                <w:noProof/>
                <w:webHidden/>
              </w:rPr>
              <w:t>18</w:t>
            </w:r>
            <w:r w:rsidR="00467FCC">
              <w:rPr>
                <w:rStyle w:val="Hypertextovprepojenie"/>
                <w:noProof/>
              </w:rPr>
              <w:fldChar w:fldCharType="end"/>
            </w:r>
          </w:hyperlink>
        </w:p>
        <w:p w14:paraId="78977B58" w14:textId="4F09ED15"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202" w:history="1">
            <w:r w:rsidR="00467FCC" w:rsidRPr="001F2746">
              <w:rPr>
                <w:rStyle w:val="Hypertextovprepojenie"/>
                <w:noProof/>
              </w:rPr>
              <w:t>6.</w:t>
            </w:r>
            <w:r w:rsidR="00467FCC">
              <w:rPr>
                <w:rFonts w:asciiTheme="minorHAnsi" w:eastAsiaTheme="minorEastAsia" w:hAnsiTheme="minorHAnsi" w:cstheme="minorBidi"/>
                <w:noProof/>
                <w:sz w:val="22"/>
                <w:szCs w:val="22"/>
              </w:rPr>
              <w:tab/>
            </w:r>
            <w:r w:rsidR="00467FCC" w:rsidRPr="001F2746">
              <w:rPr>
                <w:rStyle w:val="Hypertextovprepojenie"/>
                <w:noProof/>
              </w:rPr>
              <w:t>Základné informácie o súčasnom stave životného prostredia dotknutého územia vrátane zdravia ľudí</w:t>
            </w:r>
            <w:r w:rsidR="00467FCC">
              <w:rPr>
                <w:noProof/>
                <w:webHidden/>
              </w:rPr>
              <w:tab/>
            </w:r>
            <w:r w:rsidR="00467FCC">
              <w:rPr>
                <w:rStyle w:val="Hypertextovprepojenie"/>
                <w:noProof/>
              </w:rPr>
              <w:fldChar w:fldCharType="begin"/>
            </w:r>
            <w:r w:rsidR="00467FCC">
              <w:rPr>
                <w:noProof/>
                <w:webHidden/>
              </w:rPr>
              <w:instrText xml:space="preserve"> PAGEREF _Toc31615202 \h </w:instrText>
            </w:r>
            <w:r w:rsidR="00467FCC">
              <w:rPr>
                <w:rStyle w:val="Hypertextovprepojenie"/>
                <w:noProof/>
              </w:rPr>
            </w:r>
            <w:r w:rsidR="00467FCC">
              <w:rPr>
                <w:rStyle w:val="Hypertextovprepojenie"/>
                <w:noProof/>
              </w:rPr>
              <w:fldChar w:fldCharType="separate"/>
            </w:r>
            <w:r w:rsidR="00467FCC">
              <w:rPr>
                <w:noProof/>
                <w:webHidden/>
              </w:rPr>
              <w:t>18</w:t>
            </w:r>
            <w:r w:rsidR="00467FCC">
              <w:rPr>
                <w:rStyle w:val="Hypertextovprepojenie"/>
                <w:noProof/>
              </w:rPr>
              <w:fldChar w:fldCharType="end"/>
            </w:r>
          </w:hyperlink>
        </w:p>
        <w:p w14:paraId="6663E90F" w14:textId="5CB05B93" w:rsidR="00467FCC" w:rsidRDefault="00640CD3">
          <w:pPr>
            <w:pStyle w:val="Obsah3"/>
            <w:tabs>
              <w:tab w:val="right" w:leader="dot" w:pos="9062"/>
            </w:tabs>
            <w:rPr>
              <w:rFonts w:asciiTheme="minorHAnsi" w:eastAsiaTheme="minorEastAsia" w:hAnsiTheme="minorHAnsi" w:cstheme="minorBidi"/>
              <w:noProof/>
              <w:sz w:val="22"/>
              <w:szCs w:val="22"/>
            </w:rPr>
          </w:pPr>
          <w:hyperlink w:anchor="_Toc31615203" w:history="1">
            <w:r w:rsidR="00467FCC" w:rsidRPr="001F2746">
              <w:rPr>
                <w:rStyle w:val="Hypertextovprepojenie"/>
                <w:noProof/>
              </w:rPr>
              <w:t>Územný systém ekologickej stability</w:t>
            </w:r>
            <w:r w:rsidR="00467FCC">
              <w:rPr>
                <w:noProof/>
                <w:webHidden/>
              </w:rPr>
              <w:tab/>
            </w:r>
            <w:r w:rsidR="00467FCC">
              <w:rPr>
                <w:rStyle w:val="Hypertextovprepojenie"/>
                <w:noProof/>
              </w:rPr>
              <w:fldChar w:fldCharType="begin"/>
            </w:r>
            <w:r w:rsidR="00467FCC">
              <w:rPr>
                <w:noProof/>
                <w:webHidden/>
              </w:rPr>
              <w:instrText xml:space="preserve"> PAGEREF _Toc31615203 \h </w:instrText>
            </w:r>
            <w:r w:rsidR="00467FCC">
              <w:rPr>
                <w:rStyle w:val="Hypertextovprepojenie"/>
                <w:noProof/>
              </w:rPr>
            </w:r>
            <w:r w:rsidR="00467FCC">
              <w:rPr>
                <w:rStyle w:val="Hypertextovprepojenie"/>
                <w:noProof/>
              </w:rPr>
              <w:fldChar w:fldCharType="separate"/>
            </w:r>
            <w:r w:rsidR="00467FCC">
              <w:rPr>
                <w:noProof/>
                <w:webHidden/>
              </w:rPr>
              <w:t>24</w:t>
            </w:r>
            <w:r w:rsidR="00467FCC">
              <w:rPr>
                <w:rStyle w:val="Hypertextovprepojenie"/>
                <w:noProof/>
              </w:rPr>
              <w:fldChar w:fldCharType="end"/>
            </w:r>
          </w:hyperlink>
        </w:p>
        <w:p w14:paraId="21F0DBAA" w14:textId="27B2A0D6" w:rsidR="00467FCC" w:rsidRDefault="00640CD3">
          <w:pPr>
            <w:pStyle w:val="Obsah3"/>
            <w:tabs>
              <w:tab w:val="right" w:leader="dot" w:pos="9062"/>
            </w:tabs>
            <w:rPr>
              <w:rFonts w:asciiTheme="minorHAnsi" w:eastAsiaTheme="minorEastAsia" w:hAnsiTheme="minorHAnsi" w:cstheme="minorBidi"/>
              <w:noProof/>
              <w:sz w:val="22"/>
              <w:szCs w:val="22"/>
            </w:rPr>
          </w:pPr>
          <w:hyperlink w:anchor="_Toc31615204" w:history="1">
            <w:r w:rsidR="00467FCC" w:rsidRPr="001F2746">
              <w:rPr>
                <w:rStyle w:val="Hypertextovprepojenie"/>
                <w:noProof/>
              </w:rPr>
              <w:t>Zdravotný stav obyvateľstva a celková kvalita životného prostredia pre človeka</w:t>
            </w:r>
            <w:r w:rsidR="00467FCC">
              <w:rPr>
                <w:noProof/>
                <w:webHidden/>
              </w:rPr>
              <w:tab/>
            </w:r>
            <w:r w:rsidR="00467FCC">
              <w:rPr>
                <w:rStyle w:val="Hypertextovprepojenie"/>
                <w:noProof/>
              </w:rPr>
              <w:fldChar w:fldCharType="begin"/>
            </w:r>
            <w:r w:rsidR="00467FCC">
              <w:rPr>
                <w:noProof/>
                <w:webHidden/>
              </w:rPr>
              <w:instrText xml:space="preserve"> PAGEREF _Toc31615204 \h </w:instrText>
            </w:r>
            <w:r w:rsidR="00467FCC">
              <w:rPr>
                <w:rStyle w:val="Hypertextovprepojenie"/>
                <w:noProof/>
              </w:rPr>
            </w:r>
            <w:r w:rsidR="00467FCC">
              <w:rPr>
                <w:rStyle w:val="Hypertextovprepojenie"/>
                <w:noProof/>
              </w:rPr>
              <w:fldChar w:fldCharType="separate"/>
            </w:r>
            <w:r w:rsidR="00467FCC">
              <w:rPr>
                <w:noProof/>
                <w:webHidden/>
              </w:rPr>
              <w:t>24</w:t>
            </w:r>
            <w:r w:rsidR="00467FCC">
              <w:rPr>
                <w:rStyle w:val="Hypertextovprepojenie"/>
                <w:noProof/>
              </w:rPr>
              <w:fldChar w:fldCharType="end"/>
            </w:r>
          </w:hyperlink>
        </w:p>
        <w:p w14:paraId="3027BBDC" w14:textId="64B7F240" w:rsidR="00467FCC" w:rsidRDefault="00640CD3">
          <w:pPr>
            <w:pStyle w:val="Obsah1"/>
            <w:tabs>
              <w:tab w:val="left" w:pos="660"/>
              <w:tab w:val="right" w:leader="dot" w:pos="9062"/>
            </w:tabs>
            <w:rPr>
              <w:rFonts w:asciiTheme="minorHAnsi" w:eastAsiaTheme="minorEastAsia" w:hAnsiTheme="minorHAnsi" w:cstheme="minorBidi"/>
              <w:noProof/>
              <w:sz w:val="22"/>
              <w:szCs w:val="22"/>
            </w:rPr>
          </w:pPr>
          <w:hyperlink w:anchor="_Toc31615205" w:history="1">
            <w:r w:rsidR="00467FCC" w:rsidRPr="001F2746">
              <w:rPr>
                <w:rStyle w:val="Hypertextovprepojenie"/>
                <w:noProof/>
              </w:rPr>
              <w:t>IV.</w:t>
            </w:r>
            <w:r w:rsidR="00467FCC">
              <w:rPr>
                <w:rFonts w:asciiTheme="minorHAnsi" w:eastAsiaTheme="minorEastAsia" w:hAnsiTheme="minorHAnsi" w:cstheme="minorBidi"/>
                <w:noProof/>
                <w:sz w:val="22"/>
                <w:szCs w:val="22"/>
              </w:rPr>
              <w:tab/>
            </w:r>
            <w:r w:rsidR="00467FCC" w:rsidRPr="001F2746">
              <w:rPr>
                <w:rStyle w:val="Hypertextovprepojenie"/>
                <w:noProof/>
              </w:rPr>
              <w:t>VPLYVY NA ŽIVOTNÉ PROSTREDIE A ZDRAVIE OBYVATEĽSTVA VRÁTANE KUMULATÍVNYCH A SYNERGICKÝCH</w:t>
            </w:r>
            <w:r w:rsidR="00467FCC">
              <w:rPr>
                <w:noProof/>
                <w:webHidden/>
              </w:rPr>
              <w:tab/>
            </w:r>
            <w:r w:rsidR="00467FCC">
              <w:rPr>
                <w:rStyle w:val="Hypertextovprepojenie"/>
                <w:noProof/>
              </w:rPr>
              <w:fldChar w:fldCharType="begin"/>
            </w:r>
            <w:r w:rsidR="00467FCC">
              <w:rPr>
                <w:noProof/>
                <w:webHidden/>
              </w:rPr>
              <w:instrText xml:space="preserve"> PAGEREF _Toc31615205 \h </w:instrText>
            </w:r>
            <w:r w:rsidR="00467FCC">
              <w:rPr>
                <w:rStyle w:val="Hypertextovprepojenie"/>
                <w:noProof/>
              </w:rPr>
            </w:r>
            <w:r w:rsidR="00467FCC">
              <w:rPr>
                <w:rStyle w:val="Hypertextovprepojenie"/>
                <w:noProof/>
              </w:rPr>
              <w:fldChar w:fldCharType="separate"/>
            </w:r>
            <w:r w:rsidR="00467FCC">
              <w:rPr>
                <w:noProof/>
                <w:webHidden/>
              </w:rPr>
              <w:t>26</w:t>
            </w:r>
            <w:r w:rsidR="00467FCC">
              <w:rPr>
                <w:rStyle w:val="Hypertextovprepojenie"/>
                <w:noProof/>
              </w:rPr>
              <w:fldChar w:fldCharType="end"/>
            </w:r>
          </w:hyperlink>
        </w:p>
        <w:p w14:paraId="7F5EBC1D" w14:textId="3C327DBC" w:rsidR="00467FCC" w:rsidRDefault="00640CD3">
          <w:pPr>
            <w:pStyle w:val="Obsah3"/>
            <w:tabs>
              <w:tab w:val="right" w:leader="dot" w:pos="9062"/>
            </w:tabs>
            <w:rPr>
              <w:rFonts w:asciiTheme="minorHAnsi" w:eastAsiaTheme="minorEastAsia" w:hAnsiTheme="minorHAnsi" w:cstheme="minorBidi"/>
              <w:noProof/>
              <w:sz w:val="22"/>
              <w:szCs w:val="22"/>
            </w:rPr>
          </w:pPr>
          <w:hyperlink w:anchor="_Toc31615206" w:history="1">
            <w:r w:rsidR="00467FCC" w:rsidRPr="001F2746">
              <w:rPr>
                <w:rStyle w:val="Hypertextovprepojenie"/>
                <w:noProof/>
              </w:rPr>
              <w:t>Vplyvy na horninové prostredie a pôdu</w:t>
            </w:r>
            <w:r w:rsidR="00467FCC">
              <w:rPr>
                <w:noProof/>
                <w:webHidden/>
              </w:rPr>
              <w:tab/>
            </w:r>
            <w:r w:rsidR="00467FCC">
              <w:rPr>
                <w:rStyle w:val="Hypertextovprepojenie"/>
                <w:noProof/>
              </w:rPr>
              <w:fldChar w:fldCharType="begin"/>
            </w:r>
            <w:r w:rsidR="00467FCC">
              <w:rPr>
                <w:noProof/>
                <w:webHidden/>
              </w:rPr>
              <w:instrText xml:space="preserve"> PAGEREF _Toc31615206 \h </w:instrText>
            </w:r>
            <w:r w:rsidR="00467FCC">
              <w:rPr>
                <w:rStyle w:val="Hypertextovprepojenie"/>
                <w:noProof/>
              </w:rPr>
            </w:r>
            <w:r w:rsidR="00467FCC">
              <w:rPr>
                <w:rStyle w:val="Hypertextovprepojenie"/>
                <w:noProof/>
              </w:rPr>
              <w:fldChar w:fldCharType="separate"/>
            </w:r>
            <w:r w:rsidR="00467FCC">
              <w:rPr>
                <w:noProof/>
                <w:webHidden/>
              </w:rPr>
              <w:t>27</w:t>
            </w:r>
            <w:r w:rsidR="00467FCC">
              <w:rPr>
                <w:rStyle w:val="Hypertextovprepojenie"/>
                <w:noProof/>
              </w:rPr>
              <w:fldChar w:fldCharType="end"/>
            </w:r>
          </w:hyperlink>
        </w:p>
        <w:p w14:paraId="70639287" w14:textId="260C2BEF" w:rsidR="00467FCC" w:rsidRDefault="00640CD3">
          <w:pPr>
            <w:pStyle w:val="Obsah3"/>
            <w:tabs>
              <w:tab w:val="right" w:leader="dot" w:pos="9062"/>
            </w:tabs>
            <w:rPr>
              <w:rFonts w:asciiTheme="minorHAnsi" w:eastAsiaTheme="minorEastAsia" w:hAnsiTheme="minorHAnsi" w:cstheme="minorBidi"/>
              <w:noProof/>
              <w:sz w:val="22"/>
              <w:szCs w:val="22"/>
            </w:rPr>
          </w:pPr>
          <w:hyperlink w:anchor="_Toc31615207" w:history="1">
            <w:r w:rsidR="00467FCC" w:rsidRPr="001F2746">
              <w:rPr>
                <w:rStyle w:val="Hypertextovprepojenie"/>
                <w:noProof/>
              </w:rPr>
              <w:t>Vplyvy na vodné pomery</w:t>
            </w:r>
            <w:r w:rsidR="00467FCC">
              <w:rPr>
                <w:noProof/>
                <w:webHidden/>
              </w:rPr>
              <w:tab/>
            </w:r>
            <w:r w:rsidR="00467FCC">
              <w:rPr>
                <w:rStyle w:val="Hypertextovprepojenie"/>
                <w:noProof/>
              </w:rPr>
              <w:fldChar w:fldCharType="begin"/>
            </w:r>
            <w:r w:rsidR="00467FCC">
              <w:rPr>
                <w:noProof/>
                <w:webHidden/>
              </w:rPr>
              <w:instrText xml:space="preserve"> PAGEREF _Toc31615207 \h </w:instrText>
            </w:r>
            <w:r w:rsidR="00467FCC">
              <w:rPr>
                <w:rStyle w:val="Hypertextovprepojenie"/>
                <w:noProof/>
              </w:rPr>
            </w:r>
            <w:r w:rsidR="00467FCC">
              <w:rPr>
                <w:rStyle w:val="Hypertextovprepojenie"/>
                <w:noProof/>
              </w:rPr>
              <w:fldChar w:fldCharType="separate"/>
            </w:r>
            <w:r w:rsidR="00467FCC">
              <w:rPr>
                <w:noProof/>
                <w:webHidden/>
              </w:rPr>
              <w:t>27</w:t>
            </w:r>
            <w:r w:rsidR="00467FCC">
              <w:rPr>
                <w:rStyle w:val="Hypertextovprepojenie"/>
                <w:noProof/>
              </w:rPr>
              <w:fldChar w:fldCharType="end"/>
            </w:r>
          </w:hyperlink>
        </w:p>
        <w:p w14:paraId="36F937C2" w14:textId="6041051B" w:rsidR="00467FCC" w:rsidRDefault="00640CD3">
          <w:pPr>
            <w:pStyle w:val="Obsah3"/>
            <w:tabs>
              <w:tab w:val="right" w:leader="dot" w:pos="9062"/>
            </w:tabs>
            <w:rPr>
              <w:rFonts w:asciiTheme="minorHAnsi" w:eastAsiaTheme="minorEastAsia" w:hAnsiTheme="minorHAnsi" w:cstheme="minorBidi"/>
              <w:noProof/>
              <w:sz w:val="22"/>
              <w:szCs w:val="22"/>
            </w:rPr>
          </w:pPr>
          <w:hyperlink w:anchor="_Toc31615208" w:history="1">
            <w:r w:rsidR="00467FCC" w:rsidRPr="001F2746">
              <w:rPr>
                <w:rStyle w:val="Hypertextovprepojenie"/>
                <w:noProof/>
              </w:rPr>
              <w:t>Vplyvy na ovzdušie</w:t>
            </w:r>
            <w:r w:rsidR="00467FCC">
              <w:rPr>
                <w:noProof/>
                <w:webHidden/>
              </w:rPr>
              <w:tab/>
            </w:r>
            <w:r w:rsidR="00467FCC">
              <w:rPr>
                <w:rStyle w:val="Hypertextovprepojenie"/>
                <w:noProof/>
              </w:rPr>
              <w:fldChar w:fldCharType="begin"/>
            </w:r>
            <w:r w:rsidR="00467FCC">
              <w:rPr>
                <w:noProof/>
                <w:webHidden/>
              </w:rPr>
              <w:instrText xml:space="preserve"> PAGEREF _Toc31615208 \h </w:instrText>
            </w:r>
            <w:r w:rsidR="00467FCC">
              <w:rPr>
                <w:rStyle w:val="Hypertextovprepojenie"/>
                <w:noProof/>
              </w:rPr>
            </w:r>
            <w:r w:rsidR="00467FCC">
              <w:rPr>
                <w:rStyle w:val="Hypertextovprepojenie"/>
                <w:noProof/>
              </w:rPr>
              <w:fldChar w:fldCharType="separate"/>
            </w:r>
            <w:r w:rsidR="00467FCC">
              <w:rPr>
                <w:noProof/>
                <w:webHidden/>
              </w:rPr>
              <w:t>28</w:t>
            </w:r>
            <w:r w:rsidR="00467FCC">
              <w:rPr>
                <w:rStyle w:val="Hypertextovprepojenie"/>
                <w:noProof/>
              </w:rPr>
              <w:fldChar w:fldCharType="end"/>
            </w:r>
          </w:hyperlink>
        </w:p>
        <w:p w14:paraId="11DCEAEA" w14:textId="6BA7433F" w:rsidR="00467FCC" w:rsidRDefault="00640CD3">
          <w:pPr>
            <w:pStyle w:val="Obsah3"/>
            <w:tabs>
              <w:tab w:val="right" w:leader="dot" w:pos="9062"/>
            </w:tabs>
            <w:rPr>
              <w:rFonts w:asciiTheme="minorHAnsi" w:eastAsiaTheme="minorEastAsia" w:hAnsiTheme="minorHAnsi" w:cstheme="minorBidi"/>
              <w:noProof/>
              <w:sz w:val="22"/>
              <w:szCs w:val="22"/>
            </w:rPr>
          </w:pPr>
          <w:hyperlink w:anchor="_Toc31615209" w:history="1">
            <w:r w:rsidR="00467FCC" w:rsidRPr="001F2746">
              <w:rPr>
                <w:rStyle w:val="Hypertextovprepojenie"/>
                <w:noProof/>
              </w:rPr>
              <w:t>Vplyvy na obyvateľstvo</w:t>
            </w:r>
            <w:r w:rsidR="00467FCC">
              <w:rPr>
                <w:noProof/>
                <w:webHidden/>
              </w:rPr>
              <w:tab/>
            </w:r>
            <w:r w:rsidR="00467FCC">
              <w:rPr>
                <w:rStyle w:val="Hypertextovprepojenie"/>
                <w:noProof/>
              </w:rPr>
              <w:fldChar w:fldCharType="begin"/>
            </w:r>
            <w:r w:rsidR="00467FCC">
              <w:rPr>
                <w:noProof/>
                <w:webHidden/>
              </w:rPr>
              <w:instrText xml:space="preserve"> PAGEREF _Toc31615209 \h </w:instrText>
            </w:r>
            <w:r w:rsidR="00467FCC">
              <w:rPr>
                <w:rStyle w:val="Hypertextovprepojenie"/>
                <w:noProof/>
              </w:rPr>
            </w:r>
            <w:r w:rsidR="00467FCC">
              <w:rPr>
                <w:rStyle w:val="Hypertextovprepojenie"/>
                <w:noProof/>
              </w:rPr>
              <w:fldChar w:fldCharType="separate"/>
            </w:r>
            <w:r w:rsidR="00467FCC">
              <w:rPr>
                <w:noProof/>
                <w:webHidden/>
              </w:rPr>
              <w:t>29</w:t>
            </w:r>
            <w:r w:rsidR="00467FCC">
              <w:rPr>
                <w:rStyle w:val="Hypertextovprepojenie"/>
                <w:noProof/>
              </w:rPr>
              <w:fldChar w:fldCharType="end"/>
            </w:r>
          </w:hyperlink>
        </w:p>
        <w:p w14:paraId="632CD9E3" w14:textId="396895CB" w:rsidR="00467FCC" w:rsidRDefault="00640CD3">
          <w:pPr>
            <w:pStyle w:val="Obsah2"/>
            <w:tabs>
              <w:tab w:val="left" w:pos="660"/>
              <w:tab w:val="right" w:leader="dot" w:pos="9062"/>
            </w:tabs>
            <w:rPr>
              <w:rFonts w:asciiTheme="minorHAnsi" w:eastAsiaTheme="minorEastAsia" w:hAnsiTheme="minorHAnsi" w:cstheme="minorBidi"/>
              <w:noProof/>
              <w:sz w:val="22"/>
              <w:szCs w:val="22"/>
            </w:rPr>
          </w:pPr>
          <w:hyperlink w:anchor="_Toc31615210" w:history="1">
            <w:r w:rsidR="00467FCC" w:rsidRPr="001F2746">
              <w:rPr>
                <w:rStyle w:val="Hypertextovprepojenie"/>
                <w:noProof/>
              </w:rPr>
              <w:t>1.</w:t>
            </w:r>
            <w:r w:rsidR="00467FCC">
              <w:rPr>
                <w:rFonts w:asciiTheme="minorHAnsi" w:eastAsiaTheme="minorEastAsia" w:hAnsiTheme="minorHAnsi" w:cstheme="minorBidi"/>
                <w:noProof/>
                <w:sz w:val="22"/>
                <w:szCs w:val="22"/>
              </w:rPr>
              <w:tab/>
            </w:r>
            <w:r w:rsidR="00467FCC" w:rsidRPr="001F2746">
              <w:rPr>
                <w:rStyle w:val="Hypertextovprepojenie"/>
                <w:rFonts w:cs="Calibri"/>
                <w:noProof/>
              </w:rPr>
              <w:t>Vplyvy na prírodné prostredie</w:t>
            </w:r>
            <w:r w:rsidR="00467FCC">
              <w:rPr>
                <w:noProof/>
                <w:webHidden/>
              </w:rPr>
              <w:tab/>
            </w:r>
            <w:r w:rsidR="00467FCC">
              <w:rPr>
                <w:rStyle w:val="Hypertextovprepojenie"/>
                <w:noProof/>
              </w:rPr>
              <w:fldChar w:fldCharType="begin"/>
            </w:r>
            <w:r w:rsidR="00467FCC">
              <w:rPr>
                <w:noProof/>
                <w:webHidden/>
              </w:rPr>
              <w:instrText xml:space="preserve"> PAGEREF _Toc31615210 \h </w:instrText>
            </w:r>
            <w:r w:rsidR="00467FCC">
              <w:rPr>
                <w:rStyle w:val="Hypertextovprepojenie"/>
                <w:noProof/>
              </w:rPr>
            </w:r>
            <w:r w:rsidR="00467FCC">
              <w:rPr>
                <w:rStyle w:val="Hypertextovprepojenie"/>
                <w:noProof/>
              </w:rPr>
              <w:fldChar w:fldCharType="separate"/>
            </w:r>
            <w:r w:rsidR="00467FCC">
              <w:rPr>
                <w:noProof/>
                <w:webHidden/>
              </w:rPr>
              <w:t>32</w:t>
            </w:r>
            <w:r w:rsidR="00467FCC">
              <w:rPr>
                <w:rStyle w:val="Hypertextovprepojenie"/>
                <w:noProof/>
              </w:rPr>
              <w:fldChar w:fldCharType="end"/>
            </w:r>
          </w:hyperlink>
        </w:p>
        <w:p w14:paraId="4AAFD339" w14:textId="7B280499" w:rsidR="00467FCC" w:rsidRDefault="00640CD3">
          <w:pPr>
            <w:pStyle w:val="Obsah1"/>
            <w:tabs>
              <w:tab w:val="left" w:pos="480"/>
              <w:tab w:val="right" w:leader="dot" w:pos="9062"/>
            </w:tabs>
            <w:rPr>
              <w:rFonts w:asciiTheme="minorHAnsi" w:eastAsiaTheme="minorEastAsia" w:hAnsiTheme="minorHAnsi" w:cstheme="minorBidi"/>
              <w:noProof/>
              <w:sz w:val="22"/>
              <w:szCs w:val="22"/>
            </w:rPr>
          </w:pPr>
          <w:hyperlink w:anchor="_Toc31615211" w:history="1">
            <w:r w:rsidR="00467FCC" w:rsidRPr="001F2746">
              <w:rPr>
                <w:rStyle w:val="Hypertextovprepojenie"/>
                <w:noProof/>
              </w:rPr>
              <w:t>V.</w:t>
            </w:r>
            <w:r w:rsidR="00467FCC">
              <w:rPr>
                <w:rFonts w:asciiTheme="minorHAnsi" w:eastAsiaTheme="minorEastAsia" w:hAnsiTheme="minorHAnsi" w:cstheme="minorBidi"/>
                <w:noProof/>
                <w:sz w:val="22"/>
                <w:szCs w:val="22"/>
              </w:rPr>
              <w:tab/>
            </w:r>
            <w:r w:rsidR="00467FCC" w:rsidRPr="001F2746">
              <w:rPr>
                <w:rStyle w:val="Hypertextovprepojenie"/>
                <w:noProof/>
              </w:rPr>
              <w:t>VŠEOBECNE ZROZUMITEĽNÉ ZÁVEREČNÉ ZHRNUTIE</w:t>
            </w:r>
            <w:r w:rsidR="00467FCC">
              <w:rPr>
                <w:noProof/>
                <w:webHidden/>
              </w:rPr>
              <w:tab/>
            </w:r>
            <w:r w:rsidR="00467FCC">
              <w:rPr>
                <w:rStyle w:val="Hypertextovprepojenie"/>
                <w:noProof/>
              </w:rPr>
              <w:fldChar w:fldCharType="begin"/>
            </w:r>
            <w:r w:rsidR="00467FCC">
              <w:rPr>
                <w:noProof/>
                <w:webHidden/>
              </w:rPr>
              <w:instrText xml:space="preserve"> PAGEREF _Toc31615211 \h </w:instrText>
            </w:r>
            <w:r w:rsidR="00467FCC">
              <w:rPr>
                <w:rStyle w:val="Hypertextovprepojenie"/>
                <w:noProof/>
              </w:rPr>
            </w:r>
            <w:r w:rsidR="00467FCC">
              <w:rPr>
                <w:rStyle w:val="Hypertextovprepojenie"/>
                <w:noProof/>
              </w:rPr>
              <w:fldChar w:fldCharType="separate"/>
            </w:r>
            <w:r w:rsidR="00467FCC">
              <w:rPr>
                <w:noProof/>
                <w:webHidden/>
              </w:rPr>
              <w:t>34</w:t>
            </w:r>
            <w:r w:rsidR="00467FCC">
              <w:rPr>
                <w:rStyle w:val="Hypertextovprepojenie"/>
                <w:noProof/>
              </w:rPr>
              <w:fldChar w:fldCharType="end"/>
            </w:r>
          </w:hyperlink>
        </w:p>
        <w:p w14:paraId="564711EA" w14:textId="3D16E6E6" w:rsidR="00467FCC" w:rsidRDefault="00640CD3">
          <w:pPr>
            <w:pStyle w:val="Obsah1"/>
            <w:tabs>
              <w:tab w:val="left" w:pos="660"/>
              <w:tab w:val="right" w:leader="dot" w:pos="9062"/>
            </w:tabs>
            <w:rPr>
              <w:rFonts w:asciiTheme="minorHAnsi" w:eastAsiaTheme="minorEastAsia" w:hAnsiTheme="minorHAnsi" w:cstheme="minorBidi"/>
              <w:noProof/>
              <w:sz w:val="22"/>
              <w:szCs w:val="22"/>
            </w:rPr>
          </w:pPr>
          <w:hyperlink w:anchor="_Toc31615212" w:history="1">
            <w:r w:rsidR="00467FCC" w:rsidRPr="001F2746">
              <w:rPr>
                <w:rStyle w:val="Hypertextovprepojenie"/>
                <w:noProof/>
              </w:rPr>
              <w:t>VI.</w:t>
            </w:r>
            <w:r w:rsidR="00467FCC">
              <w:rPr>
                <w:rFonts w:asciiTheme="minorHAnsi" w:eastAsiaTheme="minorEastAsia" w:hAnsiTheme="minorHAnsi" w:cstheme="minorBidi"/>
                <w:noProof/>
                <w:sz w:val="22"/>
                <w:szCs w:val="22"/>
              </w:rPr>
              <w:tab/>
            </w:r>
            <w:r w:rsidR="00467FCC" w:rsidRPr="001F2746">
              <w:rPr>
                <w:rStyle w:val="Hypertextovprepojenie"/>
                <w:noProof/>
              </w:rPr>
              <w:t>PRÍLOHY</w:t>
            </w:r>
            <w:r w:rsidR="00467FCC">
              <w:rPr>
                <w:noProof/>
                <w:webHidden/>
              </w:rPr>
              <w:tab/>
            </w:r>
            <w:r w:rsidR="00467FCC">
              <w:rPr>
                <w:rStyle w:val="Hypertextovprepojenie"/>
                <w:noProof/>
              </w:rPr>
              <w:fldChar w:fldCharType="begin"/>
            </w:r>
            <w:r w:rsidR="00467FCC">
              <w:rPr>
                <w:noProof/>
                <w:webHidden/>
              </w:rPr>
              <w:instrText xml:space="preserve"> PAGEREF _Toc31615212 \h </w:instrText>
            </w:r>
            <w:r w:rsidR="00467FCC">
              <w:rPr>
                <w:rStyle w:val="Hypertextovprepojenie"/>
                <w:noProof/>
              </w:rPr>
            </w:r>
            <w:r w:rsidR="00467FCC">
              <w:rPr>
                <w:rStyle w:val="Hypertextovprepojenie"/>
                <w:noProof/>
              </w:rPr>
              <w:fldChar w:fldCharType="separate"/>
            </w:r>
            <w:r w:rsidR="00467FCC">
              <w:rPr>
                <w:noProof/>
                <w:webHidden/>
              </w:rPr>
              <w:t>38</w:t>
            </w:r>
            <w:r w:rsidR="00467FCC">
              <w:rPr>
                <w:rStyle w:val="Hypertextovprepojenie"/>
                <w:noProof/>
              </w:rPr>
              <w:fldChar w:fldCharType="end"/>
            </w:r>
          </w:hyperlink>
        </w:p>
        <w:p w14:paraId="7F872089" w14:textId="7C357372" w:rsidR="00467FCC" w:rsidRDefault="00640CD3">
          <w:pPr>
            <w:pStyle w:val="Obsah1"/>
            <w:tabs>
              <w:tab w:val="left" w:pos="660"/>
              <w:tab w:val="right" w:leader="dot" w:pos="9062"/>
            </w:tabs>
            <w:rPr>
              <w:rFonts w:asciiTheme="minorHAnsi" w:eastAsiaTheme="minorEastAsia" w:hAnsiTheme="minorHAnsi" w:cstheme="minorBidi"/>
              <w:noProof/>
              <w:sz w:val="22"/>
              <w:szCs w:val="22"/>
            </w:rPr>
          </w:pPr>
          <w:hyperlink w:anchor="_Toc31615213" w:history="1">
            <w:r w:rsidR="00467FCC" w:rsidRPr="001F2746">
              <w:rPr>
                <w:rStyle w:val="Hypertextovprepojenie"/>
                <w:noProof/>
              </w:rPr>
              <w:t>VII.</w:t>
            </w:r>
            <w:r w:rsidR="00467FCC">
              <w:rPr>
                <w:rFonts w:asciiTheme="minorHAnsi" w:eastAsiaTheme="minorEastAsia" w:hAnsiTheme="minorHAnsi" w:cstheme="minorBidi"/>
                <w:noProof/>
                <w:sz w:val="22"/>
                <w:szCs w:val="22"/>
              </w:rPr>
              <w:tab/>
            </w:r>
            <w:r w:rsidR="00467FCC" w:rsidRPr="001F2746">
              <w:rPr>
                <w:rStyle w:val="Hypertextovprepojenie"/>
                <w:noProof/>
              </w:rPr>
              <w:t>DÁTUM SPRACOVANIA</w:t>
            </w:r>
            <w:r w:rsidR="00467FCC">
              <w:rPr>
                <w:noProof/>
                <w:webHidden/>
              </w:rPr>
              <w:tab/>
            </w:r>
            <w:r w:rsidR="00467FCC">
              <w:rPr>
                <w:rStyle w:val="Hypertextovprepojenie"/>
                <w:noProof/>
              </w:rPr>
              <w:fldChar w:fldCharType="begin"/>
            </w:r>
            <w:r w:rsidR="00467FCC">
              <w:rPr>
                <w:noProof/>
                <w:webHidden/>
              </w:rPr>
              <w:instrText xml:space="preserve"> PAGEREF _Toc31615213 \h </w:instrText>
            </w:r>
            <w:r w:rsidR="00467FCC">
              <w:rPr>
                <w:rStyle w:val="Hypertextovprepojenie"/>
                <w:noProof/>
              </w:rPr>
            </w:r>
            <w:r w:rsidR="00467FCC">
              <w:rPr>
                <w:rStyle w:val="Hypertextovprepojenie"/>
                <w:noProof/>
              </w:rPr>
              <w:fldChar w:fldCharType="separate"/>
            </w:r>
            <w:r w:rsidR="00467FCC">
              <w:rPr>
                <w:noProof/>
                <w:webHidden/>
              </w:rPr>
              <w:t>39</w:t>
            </w:r>
            <w:r w:rsidR="00467FCC">
              <w:rPr>
                <w:rStyle w:val="Hypertextovprepojenie"/>
                <w:noProof/>
              </w:rPr>
              <w:fldChar w:fldCharType="end"/>
            </w:r>
          </w:hyperlink>
        </w:p>
        <w:p w14:paraId="7DF82280" w14:textId="4E4481AE" w:rsidR="00467FCC" w:rsidRDefault="00640CD3">
          <w:pPr>
            <w:pStyle w:val="Obsah1"/>
            <w:tabs>
              <w:tab w:val="left" w:pos="880"/>
              <w:tab w:val="right" w:leader="dot" w:pos="9062"/>
            </w:tabs>
            <w:rPr>
              <w:rFonts w:asciiTheme="minorHAnsi" w:eastAsiaTheme="minorEastAsia" w:hAnsiTheme="minorHAnsi" w:cstheme="minorBidi"/>
              <w:noProof/>
              <w:sz w:val="22"/>
              <w:szCs w:val="22"/>
            </w:rPr>
          </w:pPr>
          <w:hyperlink w:anchor="_Toc31615214" w:history="1">
            <w:r w:rsidR="00467FCC" w:rsidRPr="001F2746">
              <w:rPr>
                <w:rStyle w:val="Hypertextovprepojenie"/>
                <w:noProof/>
              </w:rPr>
              <w:t>VIII.</w:t>
            </w:r>
            <w:r w:rsidR="00467FCC">
              <w:rPr>
                <w:rFonts w:asciiTheme="minorHAnsi" w:eastAsiaTheme="minorEastAsia" w:hAnsiTheme="minorHAnsi" w:cstheme="minorBidi"/>
                <w:noProof/>
                <w:sz w:val="22"/>
                <w:szCs w:val="22"/>
              </w:rPr>
              <w:tab/>
            </w:r>
            <w:r w:rsidR="00467FCC" w:rsidRPr="001F2746">
              <w:rPr>
                <w:rStyle w:val="Hypertextovprepojenie"/>
                <w:noProof/>
              </w:rPr>
              <w:t>MENO, PRIEZVISKO, ADRESA A PODPIS SPRACOVATEĽA OZNÁMENIA</w:t>
            </w:r>
            <w:r w:rsidR="00467FCC">
              <w:rPr>
                <w:noProof/>
                <w:webHidden/>
              </w:rPr>
              <w:tab/>
            </w:r>
            <w:r w:rsidR="00467FCC">
              <w:rPr>
                <w:rStyle w:val="Hypertextovprepojenie"/>
                <w:noProof/>
              </w:rPr>
              <w:fldChar w:fldCharType="begin"/>
            </w:r>
            <w:r w:rsidR="00467FCC">
              <w:rPr>
                <w:noProof/>
                <w:webHidden/>
              </w:rPr>
              <w:instrText xml:space="preserve"> PAGEREF _Toc31615214 \h </w:instrText>
            </w:r>
            <w:r w:rsidR="00467FCC">
              <w:rPr>
                <w:rStyle w:val="Hypertextovprepojenie"/>
                <w:noProof/>
              </w:rPr>
            </w:r>
            <w:r w:rsidR="00467FCC">
              <w:rPr>
                <w:rStyle w:val="Hypertextovprepojenie"/>
                <w:noProof/>
              </w:rPr>
              <w:fldChar w:fldCharType="separate"/>
            </w:r>
            <w:r w:rsidR="00467FCC">
              <w:rPr>
                <w:noProof/>
                <w:webHidden/>
              </w:rPr>
              <w:t>39</w:t>
            </w:r>
            <w:r w:rsidR="00467FCC">
              <w:rPr>
                <w:rStyle w:val="Hypertextovprepojenie"/>
                <w:noProof/>
              </w:rPr>
              <w:fldChar w:fldCharType="end"/>
            </w:r>
          </w:hyperlink>
        </w:p>
        <w:p w14:paraId="335076B8" w14:textId="3CC040C0" w:rsidR="00467FCC" w:rsidRDefault="00640CD3">
          <w:pPr>
            <w:pStyle w:val="Obsah1"/>
            <w:tabs>
              <w:tab w:val="left" w:pos="660"/>
              <w:tab w:val="right" w:leader="dot" w:pos="9062"/>
            </w:tabs>
            <w:rPr>
              <w:rFonts w:asciiTheme="minorHAnsi" w:eastAsiaTheme="minorEastAsia" w:hAnsiTheme="minorHAnsi" w:cstheme="minorBidi"/>
              <w:noProof/>
              <w:sz w:val="22"/>
              <w:szCs w:val="22"/>
            </w:rPr>
          </w:pPr>
          <w:hyperlink w:anchor="_Toc31615215" w:history="1">
            <w:r w:rsidR="00467FCC" w:rsidRPr="001F2746">
              <w:rPr>
                <w:rStyle w:val="Hypertextovprepojenie"/>
                <w:noProof/>
              </w:rPr>
              <w:t>IX.</w:t>
            </w:r>
            <w:r w:rsidR="00467FCC">
              <w:rPr>
                <w:rFonts w:asciiTheme="minorHAnsi" w:eastAsiaTheme="minorEastAsia" w:hAnsiTheme="minorHAnsi" w:cstheme="minorBidi"/>
                <w:noProof/>
                <w:sz w:val="22"/>
                <w:szCs w:val="22"/>
              </w:rPr>
              <w:tab/>
            </w:r>
            <w:r w:rsidR="00467FCC" w:rsidRPr="001F2746">
              <w:rPr>
                <w:rStyle w:val="Hypertextovprepojenie"/>
                <w:noProof/>
              </w:rPr>
              <w:t>Podpis oprávneného zástupcu navrhovateľa</w:t>
            </w:r>
            <w:r w:rsidR="00467FCC">
              <w:rPr>
                <w:noProof/>
                <w:webHidden/>
              </w:rPr>
              <w:tab/>
            </w:r>
            <w:r w:rsidR="00467FCC">
              <w:rPr>
                <w:rStyle w:val="Hypertextovprepojenie"/>
                <w:noProof/>
              </w:rPr>
              <w:fldChar w:fldCharType="begin"/>
            </w:r>
            <w:r w:rsidR="00467FCC">
              <w:rPr>
                <w:noProof/>
                <w:webHidden/>
              </w:rPr>
              <w:instrText xml:space="preserve"> PAGEREF _Toc31615215 \h </w:instrText>
            </w:r>
            <w:r w:rsidR="00467FCC">
              <w:rPr>
                <w:rStyle w:val="Hypertextovprepojenie"/>
                <w:noProof/>
              </w:rPr>
            </w:r>
            <w:r w:rsidR="00467FCC">
              <w:rPr>
                <w:rStyle w:val="Hypertextovprepojenie"/>
                <w:noProof/>
              </w:rPr>
              <w:fldChar w:fldCharType="separate"/>
            </w:r>
            <w:r w:rsidR="00467FCC">
              <w:rPr>
                <w:noProof/>
                <w:webHidden/>
              </w:rPr>
              <w:t>39</w:t>
            </w:r>
            <w:r w:rsidR="00467FCC">
              <w:rPr>
                <w:rStyle w:val="Hypertextovprepojenie"/>
                <w:noProof/>
              </w:rPr>
              <w:fldChar w:fldCharType="end"/>
            </w:r>
          </w:hyperlink>
        </w:p>
        <w:p w14:paraId="650593D2" w14:textId="30E7522D" w:rsidR="00A93B3D" w:rsidRPr="00646379" w:rsidRDefault="004D7721">
          <w:r w:rsidRPr="00646379">
            <w:fldChar w:fldCharType="end"/>
          </w:r>
        </w:p>
      </w:sdtContent>
    </w:sdt>
    <w:p w14:paraId="2204D501" w14:textId="77777777" w:rsidR="00425FC1" w:rsidRPr="00646379" w:rsidRDefault="00425FC1"/>
    <w:p w14:paraId="2E6C488D" w14:textId="77777777" w:rsidR="00425FC1" w:rsidRPr="00646379" w:rsidRDefault="00425FC1">
      <w:pPr>
        <w:rPr>
          <w:highlight w:val="yellow"/>
        </w:rPr>
      </w:pPr>
      <w:r w:rsidRPr="00646379">
        <w:rPr>
          <w:highlight w:val="yellow"/>
        </w:rPr>
        <w:br w:type="page"/>
      </w:r>
    </w:p>
    <w:p w14:paraId="0B28241D" w14:textId="77777777" w:rsidR="00425FC1" w:rsidRPr="00646379" w:rsidRDefault="00425FC1" w:rsidP="00B17AE1">
      <w:pPr>
        <w:pStyle w:val="Nadpis1"/>
        <w:numPr>
          <w:ilvl w:val="0"/>
          <w:numId w:val="1"/>
        </w:numPr>
        <w:ind w:left="357" w:hanging="357"/>
        <w:rPr>
          <w:i w:val="0"/>
        </w:rPr>
      </w:pPr>
      <w:bookmarkStart w:id="0" w:name="_Toc364747841"/>
      <w:bookmarkStart w:id="1" w:name="_Toc31615189"/>
      <w:r w:rsidRPr="00646379">
        <w:rPr>
          <w:i w:val="0"/>
        </w:rPr>
        <w:lastRenderedPageBreak/>
        <w:t>ÚDAJE O NAVRHOVATEĽOVI</w:t>
      </w:r>
      <w:bookmarkEnd w:id="0"/>
      <w:bookmarkEnd w:id="1"/>
    </w:p>
    <w:p w14:paraId="1DFE2CAD" w14:textId="77777777" w:rsidR="00425FC1" w:rsidRPr="00646379" w:rsidRDefault="00425FC1" w:rsidP="00425FC1">
      <w:pPr>
        <w:pStyle w:val="Nadpis2"/>
        <w:numPr>
          <w:ilvl w:val="0"/>
          <w:numId w:val="2"/>
        </w:numPr>
        <w:rPr>
          <w:i w:val="0"/>
        </w:rPr>
      </w:pPr>
      <w:bookmarkStart w:id="2" w:name="_Toc31615190"/>
      <w:r w:rsidRPr="00646379">
        <w:rPr>
          <w:i w:val="0"/>
        </w:rPr>
        <w:t>Názov (meno)</w:t>
      </w:r>
      <w:bookmarkEnd w:id="2"/>
    </w:p>
    <w:p w14:paraId="3B04AEE8" w14:textId="77777777" w:rsidR="00C85589" w:rsidRPr="00646379" w:rsidRDefault="00C85589" w:rsidP="00C85589">
      <w:proofErr w:type="spellStart"/>
      <w:r w:rsidRPr="00646379">
        <w:t>Tristone</w:t>
      </w:r>
      <w:proofErr w:type="spellEnd"/>
      <w:r w:rsidRPr="00646379">
        <w:t xml:space="preserve"> </w:t>
      </w:r>
      <w:proofErr w:type="spellStart"/>
      <w:r w:rsidRPr="00646379">
        <w:t>Flowtech</w:t>
      </w:r>
      <w:proofErr w:type="spellEnd"/>
      <w:r w:rsidRPr="00646379">
        <w:t xml:space="preserve"> Slovakia s.r.o.</w:t>
      </w:r>
    </w:p>
    <w:p w14:paraId="3DB6CDC0" w14:textId="77777777" w:rsidR="00425FC1" w:rsidRPr="00646379" w:rsidRDefault="00425FC1" w:rsidP="00425FC1"/>
    <w:p w14:paraId="290025EE" w14:textId="77777777" w:rsidR="00425FC1" w:rsidRPr="00646379" w:rsidRDefault="00425FC1" w:rsidP="00425FC1">
      <w:pPr>
        <w:pStyle w:val="Nadpis2"/>
        <w:numPr>
          <w:ilvl w:val="0"/>
          <w:numId w:val="2"/>
        </w:numPr>
        <w:rPr>
          <w:i w:val="0"/>
        </w:rPr>
      </w:pPr>
      <w:bookmarkStart w:id="3" w:name="_Toc31615191"/>
      <w:r w:rsidRPr="00646379">
        <w:rPr>
          <w:i w:val="0"/>
        </w:rPr>
        <w:t>Identifikačné číslo</w:t>
      </w:r>
      <w:bookmarkEnd w:id="3"/>
    </w:p>
    <w:p w14:paraId="05BBD383" w14:textId="77777777" w:rsidR="00425FC1" w:rsidRPr="00646379" w:rsidRDefault="00C85589" w:rsidP="00425FC1">
      <w:r w:rsidRPr="00646379">
        <w:t>31 636 977</w:t>
      </w:r>
    </w:p>
    <w:p w14:paraId="11ADF6F9" w14:textId="77777777" w:rsidR="006273E1" w:rsidRPr="00646379" w:rsidRDefault="006273E1" w:rsidP="006273E1">
      <w:pPr>
        <w:pStyle w:val="Nadpis2"/>
        <w:numPr>
          <w:ilvl w:val="0"/>
          <w:numId w:val="2"/>
        </w:numPr>
        <w:rPr>
          <w:i w:val="0"/>
        </w:rPr>
      </w:pPr>
      <w:bookmarkStart w:id="4" w:name="_Toc31615192"/>
      <w:r w:rsidRPr="00646379">
        <w:rPr>
          <w:i w:val="0"/>
        </w:rPr>
        <w:t>Sídlo</w:t>
      </w:r>
      <w:bookmarkEnd w:id="4"/>
    </w:p>
    <w:p w14:paraId="59E872A4" w14:textId="77777777" w:rsidR="00C85589" w:rsidRPr="00646379" w:rsidRDefault="00C85589" w:rsidP="00C85589">
      <w:r w:rsidRPr="00646379">
        <w:t>Železničný rad 40 968 01 Nová Baňa</w:t>
      </w:r>
    </w:p>
    <w:p w14:paraId="4582E2A8" w14:textId="77777777" w:rsidR="00B17AE1" w:rsidRPr="00646379" w:rsidRDefault="00B17AE1" w:rsidP="00B17AE1">
      <w:pPr>
        <w:pStyle w:val="Nadpis2"/>
        <w:numPr>
          <w:ilvl w:val="0"/>
          <w:numId w:val="2"/>
        </w:numPr>
        <w:spacing w:line="240" w:lineRule="auto"/>
        <w:rPr>
          <w:i w:val="0"/>
        </w:rPr>
      </w:pPr>
      <w:bookmarkStart w:id="5" w:name="_Toc31615193"/>
      <w:r w:rsidRPr="00646379">
        <w:rPr>
          <w:i w:val="0"/>
        </w:rPr>
        <w:t>Meno, priezvisko, adresa, telefónne číslo a iné kontaktné údaje oprávneného zástupcu navrhovateľa</w:t>
      </w:r>
      <w:bookmarkEnd w:id="5"/>
    </w:p>
    <w:p w14:paraId="493E2225" w14:textId="77777777" w:rsidR="00C85589" w:rsidRPr="00646379" w:rsidRDefault="00C85589" w:rsidP="00C85589">
      <w:pPr>
        <w:pStyle w:val="Odsekzoznamu"/>
        <w:rPr>
          <w:rFonts w:asciiTheme="majorHAnsi" w:hAnsiTheme="majorHAnsi"/>
          <w:b/>
          <w:b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85589" w:rsidRPr="00646379" w14:paraId="11F06B8E" w14:textId="77777777" w:rsidTr="00646379">
        <w:tc>
          <w:tcPr>
            <w:tcW w:w="4606" w:type="dxa"/>
          </w:tcPr>
          <w:p w14:paraId="6FB0BA7C"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Meno a priezvisko:</w:t>
            </w:r>
          </w:p>
        </w:tc>
        <w:tc>
          <w:tcPr>
            <w:tcW w:w="4606" w:type="dxa"/>
          </w:tcPr>
          <w:p w14:paraId="69EF071A" w14:textId="0F6D7ADD" w:rsidR="00C85589" w:rsidRPr="007C5303" w:rsidRDefault="00C85589" w:rsidP="00646379">
            <w:pPr>
              <w:tabs>
                <w:tab w:val="left" w:pos="-2340"/>
                <w:tab w:val="left" w:pos="-2160"/>
                <w:tab w:val="left" w:pos="-840"/>
                <w:tab w:val="left" w:pos="-675"/>
                <w:tab w:val="left" w:pos="-240"/>
              </w:tabs>
              <w:rPr>
                <w:rFonts w:asciiTheme="minorHAnsi" w:hAnsiTheme="minorHAnsi" w:cstheme="minorHAnsi"/>
                <w:sz w:val="24"/>
              </w:rPr>
            </w:pPr>
            <w:r w:rsidRPr="007C5303">
              <w:rPr>
                <w:rFonts w:asciiTheme="minorHAnsi" w:hAnsiTheme="minorHAnsi" w:cstheme="minorHAnsi"/>
                <w:sz w:val="24"/>
              </w:rPr>
              <w:t xml:space="preserve">Ing. Juraj </w:t>
            </w:r>
            <w:proofErr w:type="spellStart"/>
            <w:r w:rsidRPr="007C5303">
              <w:rPr>
                <w:rFonts w:asciiTheme="minorHAnsi" w:hAnsiTheme="minorHAnsi" w:cstheme="minorHAnsi"/>
                <w:sz w:val="24"/>
              </w:rPr>
              <w:t>Musil</w:t>
            </w:r>
            <w:proofErr w:type="spellEnd"/>
            <w:r w:rsidR="007C5303">
              <w:rPr>
                <w:rFonts w:asciiTheme="minorHAnsi" w:hAnsiTheme="minorHAnsi" w:cstheme="minorHAnsi"/>
                <w:sz w:val="24"/>
              </w:rPr>
              <w:t>, PhD</w:t>
            </w:r>
          </w:p>
        </w:tc>
      </w:tr>
      <w:tr w:rsidR="00C85589" w:rsidRPr="00646379" w14:paraId="486DD10E" w14:textId="77777777" w:rsidTr="00646379">
        <w:tc>
          <w:tcPr>
            <w:tcW w:w="4606" w:type="dxa"/>
          </w:tcPr>
          <w:p w14:paraId="4F5AEAC5" w14:textId="77777777" w:rsidR="00C85589" w:rsidRPr="00646379" w:rsidRDefault="00C85589" w:rsidP="00646379">
            <w:pPr>
              <w:tabs>
                <w:tab w:val="left" w:pos="-2340"/>
                <w:tab w:val="left" w:pos="-2160"/>
                <w:tab w:val="left" w:pos="-840"/>
                <w:tab w:val="left" w:pos="-675"/>
                <w:tab w:val="left" w:pos="-240"/>
                <w:tab w:val="left" w:pos="1080"/>
              </w:tabs>
              <w:rPr>
                <w:rFonts w:asciiTheme="majorHAnsi" w:hAnsiTheme="majorHAnsi"/>
                <w:b/>
                <w:sz w:val="24"/>
              </w:rPr>
            </w:pPr>
            <w:r w:rsidRPr="00646379">
              <w:rPr>
                <w:rFonts w:asciiTheme="majorHAnsi" w:hAnsiTheme="majorHAnsi"/>
                <w:b/>
                <w:sz w:val="24"/>
              </w:rPr>
              <w:t>Organizácia:</w:t>
            </w:r>
          </w:p>
        </w:tc>
        <w:tc>
          <w:tcPr>
            <w:tcW w:w="4606" w:type="dxa"/>
          </w:tcPr>
          <w:p w14:paraId="6DED6CA4" w14:textId="77777777" w:rsidR="00C85589" w:rsidRPr="007C5303" w:rsidRDefault="00C85589" w:rsidP="00646379">
            <w:pPr>
              <w:tabs>
                <w:tab w:val="left" w:pos="-2340"/>
                <w:tab w:val="left" w:pos="-2160"/>
                <w:tab w:val="left" w:pos="-840"/>
                <w:tab w:val="left" w:pos="-675"/>
                <w:tab w:val="left" w:pos="-240"/>
              </w:tabs>
              <w:rPr>
                <w:rFonts w:asciiTheme="minorHAnsi" w:hAnsiTheme="minorHAnsi" w:cstheme="minorHAnsi"/>
                <w:sz w:val="24"/>
              </w:rPr>
            </w:pPr>
            <w:r w:rsidRPr="007C5303">
              <w:rPr>
                <w:rFonts w:asciiTheme="minorHAnsi" w:hAnsiTheme="minorHAnsi" w:cstheme="minorHAnsi"/>
                <w:sz w:val="24"/>
              </w:rPr>
              <w:t>INECO, s.r.o.</w:t>
            </w:r>
          </w:p>
        </w:tc>
      </w:tr>
      <w:tr w:rsidR="00C85589" w:rsidRPr="00646379" w14:paraId="648FDDF4" w14:textId="77777777" w:rsidTr="00646379">
        <w:tc>
          <w:tcPr>
            <w:tcW w:w="4606" w:type="dxa"/>
          </w:tcPr>
          <w:p w14:paraId="37F9DB21"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Adresa:</w:t>
            </w:r>
          </w:p>
        </w:tc>
        <w:tc>
          <w:tcPr>
            <w:tcW w:w="4606" w:type="dxa"/>
          </w:tcPr>
          <w:p w14:paraId="0758610D" w14:textId="77777777" w:rsidR="00C85589" w:rsidRPr="007C5303" w:rsidRDefault="00C85589" w:rsidP="00646379">
            <w:pPr>
              <w:rPr>
                <w:rFonts w:asciiTheme="minorHAnsi" w:hAnsiTheme="minorHAnsi" w:cstheme="minorHAnsi"/>
              </w:rPr>
            </w:pPr>
            <w:r w:rsidRPr="007C5303">
              <w:rPr>
                <w:rFonts w:asciiTheme="minorHAnsi" w:hAnsiTheme="minorHAnsi" w:cstheme="minorHAnsi"/>
              </w:rPr>
              <w:t>Mladých budovateľov 2, 974 11 Banská Bystrica</w:t>
            </w:r>
          </w:p>
        </w:tc>
      </w:tr>
      <w:tr w:rsidR="00C85589" w:rsidRPr="00646379" w14:paraId="76A79579" w14:textId="77777777" w:rsidTr="00646379">
        <w:tc>
          <w:tcPr>
            <w:tcW w:w="4606" w:type="dxa"/>
          </w:tcPr>
          <w:p w14:paraId="7E42B640"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Tel. č.:</w:t>
            </w:r>
          </w:p>
        </w:tc>
        <w:tc>
          <w:tcPr>
            <w:tcW w:w="4606" w:type="dxa"/>
          </w:tcPr>
          <w:p w14:paraId="6056A292" w14:textId="77777777" w:rsidR="00C85589" w:rsidRPr="007C5303" w:rsidRDefault="00C85589" w:rsidP="00646379">
            <w:pPr>
              <w:rPr>
                <w:rFonts w:asciiTheme="minorHAnsi" w:hAnsiTheme="minorHAnsi" w:cstheme="minorHAnsi"/>
              </w:rPr>
            </w:pPr>
            <w:r w:rsidRPr="007C5303">
              <w:rPr>
                <w:rFonts w:asciiTheme="minorHAnsi" w:hAnsiTheme="minorHAnsi" w:cstheme="minorHAnsi"/>
              </w:rPr>
              <w:t>+421 948 634 624</w:t>
            </w:r>
          </w:p>
        </w:tc>
      </w:tr>
      <w:tr w:rsidR="00C85589" w:rsidRPr="00646379" w14:paraId="6F9E2D5B" w14:textId="77777777" w:rsidTr="00646379">
        <w:tc>
          <w:tcPr>
            <w:tcW w:w="4606" w:type="dxa"/>
          </w:tcPr>
          <w:p w14:paraId="161E4C61"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Email:</w:t>
            </w:r>
          </w:p>
        </w:tc>
        <w:tc>
          <w:tcPr>
            <w:tcW w:w="4606" w:type="dxa"/>
          </w:tcPr>
          <w:p w14:paraId="2364DDD0" w14:textId="3680C9A3" w:rsidR="00C85589" w:rsidRPr="007C5303" w:rsidRDefault="00640CD3" w:rsidP="00646379">
            <w:pPr>
              <w:rPr>
                <w:rFonts w:asciiTheme="minorHAnsi" w:hAnsiTheme="minorHAnsi" w:cstheme="minorHAnsi"/>
              </w:rPr>
            </w:pPr>
            <w:hyperlink r:id="rId9" w:history="1">
              <w:r w:rsidR="00C85589" w:rsidRPr="007C5303">
                <w:rPr>
                  <w:rStyle w:val="Hypertextovprepojenie"/>
                  <w:rFonts w:asciiTheme="minorHAnsi" w:hAnsiTheme="minorHAnsi" w:cstheme="minorHAnsi"/>
                </w:rPr>
                <w:t>ineco.bb@gmail.com</w:t>
              </w:r>
            </w:hyperlink>
          </w:p>
        </w:tc>
      </w:tr>
    </w:tbl>
    <w:p w14:paraId="223EF020" w14:textId="77777777" w:rsidR="00B17AE1" w:rsidRPr="00646379" w:rsidRDefault="006273E1" w:rsidP="006273E1">
      <w:pPr>
        <w:pStyle w:val="Nadpis2"/>
        <w:numPr>
          <w:ilvl w:val="0"/>
          <w:numId w:val="2"/>
        </w:numPr>
        <w:spacing w:line="240" w:lineRule="auto"/>
        <w:rPr>
          <w:i w:val="0"/>
        </w:rPr>
      </w:pPr>
      <w:bookmarkStart w:id="6" w:name="_Toc31615194"/>
      <w:r w:rsidRPr="00646379">
        <w:rPr>
          <w:i w:val="0"/>
        </w:rPr>
        <w:t>Meno, priezvisko, adresa, telefónne číslo a iné kontaktné údaje osoby, od ktorej možno dostať relevantné informácie o navrhovanej činnosti a miesto na konzultácie</w:t>
      </w:r>
      <w:bookmarkEnd w:id="6"/>
    </w:p>
    <w:p w14:paraId="638EBD09" w14:textId="77777777" w:rsidR="00C85589" w:rsidRPr="00646379" w:rsidRDefault="00C85589" w:rsidP="00C85589">
      <w:pPr>
        <w:rPr>
          <w:rFonts w:asciiTheme="majorHAnsi" w:hAnsiTheme="majorHAnsi"/>
          <w:b/>
          <w:b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85589" w:rsidRPr="00646379" w14:paraId="30A33CE6" w14:textId="77777777" w:rsidTr="00646379">
        <w:tc>
          <w:tcPr>
            <w:tcW w:w="4606" w:type="dxa"/>
          </w:tcPr>
          <w:p w14:paraId="75F6F20F"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Meno a priezvisko:</w:t>
            </w:r>
          </w:p>
        </w:tc>
        <w:tc>
          <w:tcPr>
            <w:tcW w:w="4606" w:type="dxa"/>
          </w:tcPr>
          <w:p w14:paraId="1DB129F4" w14:textId="66610261" w:rsidR="00C85589" w:rsidRPr="007C5303" w:rsidRDefault="00C85589" w:rsidP="00646379">
            <w:pPr>
              <w:tabs>
                <w:tab w:val="left" w:pos="-2340"/>
                <w:tab w:val="left" w:pos="-2160"/>
                <w:tab w:val="left" w:pos="-840"/>
                <w:tab w:val="left" w:pos="-675"/>
                <w:tab w:val="left" w:pos="-240"/>
              </w:tabs>
              <w:rPr>
                <w:rFonts w:asciiTheme="minorHAnsi" w:hAnsiTheme="minorHAnsi" w:cstheme="minorHAnsi"/>
                <w:sz w:val="24"/>
              </w:rPr>
            </w:pPr>
            <w:r w:rsidRPr="007C5303">
              <w:rPr>
                <w:rFonts w:asciiTheme="minorHAnsi" w:hAnsiTheme="minorHAnsi" w:cstheme="minorHAnsi"/>
                <w:sz w:val="24"/>
              </w:rPr>
              <w:t xml:space="preserve">Ing. Juraj </w:t>
            </w:r>
            <w:proofErr w:type="spellStart"/>
            <w:r w:rsidRPr="007C5303">
              <w:rPr>
                <w:rFonts w:asciiTheme="minorHAnsi" w:hAnsiTheme="minorHAnsi" w:cstheme="minorHAnsi"/>
                <w:sz w:val="24"/>
              </w:rPr>
              <w:t>Musil</w:t>
            </w:r>
            <w:proofErr w:type="spellEnd"/>
            <w:r w:rsidR="007C5303">
              <w:rPr>
                <w:rFonts w:asciiTheme="minorHAnsi" w:hAnsiTheme="minorHAnsi" w:cstheme="minorHAnsi"/>
                <w:sz w:val="24"/>
              </w:rPr>
              <w:t>, PhD</w:t>
            </w:r>
          </w:p>
        </w:tc>
      </w:tr>
      <w:tr w:rsidR="00C85589" w:rsidRPr="00646379" w14:paraId="73E92EB7" w14:textId="77777777" w:rsidTr="00646379">
        <w:tc>
          <w:tcPr>
            <w:tcW w:w="4606" w:type="dxa"/>
          </w:tcPr>
          <w:p w14:paraId="0164136F" w14:textId="77777777" w:rsidR="00C85589" w:rsidRPr="00646379" w:rsidRDefault="00C85589" w:rsidP="00646379">
            <w:pPr>
              <w:tabs>
                <w:tab w:val="left" w:pos="-2340"/>
                <w:tab w:val="left" w:pos="-2160"/>
                <w:tab w:val="left" w:pos="-840"/>
                <w:tab w:val="left" w:pos="-675"/>
                <w:tab w:val="left" w:pos="-240"/>
                <w:tab w:val="left" w:pos="1080"/>
              </w:tabs>
              <w:rPr>
                <w:rFonts w:asciiTheme="majorHAnsi" w:hAnsiTheme="majorHAnsi"/>
                <w:b/>
                <w:sz w:val="24"/>
              </w:rPr>
            </w:pPr>
            <w:r w:rsidRPr="00646379">
              <w:rPr>
                <w:rFonts w:asciiTheme="majorHAnsi" w:hAnsiTheme="majorHAnsi"/>
                <w:b/>
                <w:sz w:val="24"/>
              </w:rPr>
              <w:t>Organizácia:</w:t>
            </w:r>
          </w:p>
        </w:tc>
        <w:tc>
          <w:tcPr>
            <w:tcW w:w="4606" w:type="dxa"/>
          </w:tcPr>
          <w:p w14:paraId="774A2E8F" w14:textId="77777777" w:rsidR="00C85589" w:rsidRPr="007C5303" w:rsidRDefault="00C85589" w:rsidP="00646379">
            <w:pPr>
              <w:tabs>
                <w:tab w:val="left" w:pos="-2340"/>
                <w:tab w:val="left" w:pos="-2160"/>
                <w:tab w:val="left" w:pos="-840"/>
                <w:tab w:val="left" w:pos="-675"/>
                <w:tab w:val="left" w:pos="-240"/>
              </w:tabs>
              <w:rPr>
                <w:rFonts w:asciiTheme="minorHAnsi" w:hAnsiTheme="minorHAnsi" w:cstheme="minorHAnsi"/>
                <w:sz w:val="24"/>
              </w:rPr>
            </w:pPr>
            <w:r w:rsidRPr="007C5303">
              <w:rPr>
                <w:rFonts w:asciiTheme="minorHAnsi" w:hAnsiTheme="minorHAnsi" w:cstheme="minorHAnsi"/>
                <w:sz w:val="24"/>
              </w:rPr>
              <w:t>INECO, s.r.o.</w:t>
            </w:r>
          </w:p>
        </w:tc>
      </w:tr>
      <w:tr w:rsidR="00C85589" w:rsidRPr="00646379" w14:paraId="058527FD" w14:textId="77777777" w:rsidTr="00646379">
        <w:tc>
          <w:tcPr>
            <w:tcW w:w="4606" w:type="dxa"/>
          </w:tcPr>
          <w:p w14:paraId="53B21725"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Adresa:</w:t>
            </w:r>
          </w:p>
        </w:tc>
        <w:tc>
          <w:tcPr>
            <w:tcW w:w="4606" w:type="dxa"/>
          </w:tcPr>
          <w:p w14:paraId="722EB93C" w14:textId="77777777" w:rsidR="00C85589" w:rsidRPr="007C5303" w:rsidRDefault="00C85589" w:rsidP="00646379">
            <w:pPr>
              <w:rPr>
                <w:rFonts w:asciiTheme="minorHAnsi" w:hAnsiTheme="minorHAnsi" w:cstheme="minorHAnsi"/>
              </w:rPr>
            </w:pPr>
            <w:r w:rsidRPr="007C5303">
              <w:rPr>
                <w:rFonts w:asciiTheme="minorHAnsi" w:hAnsiTheme="minorHAnsi" w:cstheme="minorHAnsi"/>
              </w:rPr>
              <w:t>Mladých budovateľov 2, 974 11 Banská Bystrica</w:t>
            </w:r>
          </w:p>
        </w:tc>
      </w:tr>
      <w:tr w:rsidR="00C85589" w:rsidRPr="00646379" w14:paraId="25CD2CCC" w14:textId="77777777" w:rsidTr="00646379">
        <w:tc>
          <w:tcPr>
            <w:tcW w:w="4606" w:type="dxa"/>
          </w:tcPr>
          <w:p w14:paraId="605BCBAE"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Tel. č.:</w:t>
            </w:r>
          </w:p>
        </w:tc>
        <w:tc>
          <w:tcPr>
            <w:tcW w:w="4606" w:type="dxa"/>
          </w:tcPr>
          <w:p w14:paraId="3CA1C9F2" w14:textId="77777777" w:rsidR="00C85589" w:rsidRPr="007C5303" w:rsidRDefault="00C85589" w:rsidP="00646379">
            <w:pPr>
              <w:rPr>
                <w:rFonts w:asciiTheme="minorHAnsi" w:hAnsiTheme="minorHAnsi" w:cstheme="minorHAnsi"/>
              </w:rPr>
            </w:pPr>
            <w:r w:rsidRPr="007C5303">
              <w:rPr>
                <w:rFonts w:asciiTheme="minorHAnsi" w:hAnsiTheme="minorHAnsi" w:cstheme="minorHAnsi"/>
              </w:rPr>
              <w:t>+421 948 634 624</w:t>
            </w:r>
          </w:p>
        </w:tc>
      </w:tr>
      <w:tr w:rsidR="00C85589" w:rsidRPr="00646379" w14:paraId="415AAC8A" w14:textId="77777777" w:rsidTr="00646379">
        <w:tc>
          <w:tcPr>
            <w:tcW w:w="4606" w:type="dxa"/>
          </w:tcPr>
          <w:p w14:paraId="4B3C4675"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Email:</w:t>
            </w:r>
          </w:p>
        </w:tc>
        <w:tc>
          <w:tcPr>
            <w:tcW w:w="4606" w:type="dxa"/>
          </w:tcPr>
          <w:p w14:paraId="6267C0C2" w14:textId="05C43B6C" w:rsidR="00C85589" w:rsidRPr="007C5303" w:rsidRDefault="00640CD3" w:rsidP="00646379">
            <w:pPr>
              <w:rPr>
                <w:rFonts w:asciiTheme="minorHAnsi" w:hAnsiTheme="minorHAnsi" w:cstheme="minorHAnsi"/>
              </w:rPr>
            </w:pPr>
            <w:hyperlink r:id="rId10" w:history="1">
              <w:r w:rsidR="00C85589" w:rsidRPr="007C5303">
                <w:rPr>
                  <w:rStyle w:val="Hypertextovprepojenie"/>
                  <w:rFonts w:asciiTheme="minorHAnsi" w:hAnsiTheme="minorHAnsi" w:cstheme="minorHAnsi"/>
                </w:rPr>
                <w:t>ineco.bb@gmail.com</w:t>
              </w:r>
            </w:hyperlink>
          </w:p>
        </w:tc>
      </w:tr>
    </w:tbl>
    <w:p w14:paraId="4E9A10B6" w14:textId="77777777" w:rsidR="00425FC1" w:rsidRPr="00646379" w:rsidRDefault="006273E1" w:rsidP="00B17AE1">
      <w:pPr>
        <w:pStyle w:val="Nadpis1"/>
        <w:numPr>
          <w:ilvl w:val="0"/>
          <w:numId w:val="1"/>
        </w:numPr>
        <w:ind w:left="357" w:hanging="357"/>
        <w:rPr>
          <w:i w:val="0"/>
          <w:color w:val="000000" w:themeColor="text1"/>
        </w:rPr>
      </w:pPr>
      <w:bookmarkStart w:id="7" w:name="_Toc31615195"/>
      <w:r w:rsidRPr="00646379">
        <w:rPr>
          <w:i w:val="0"/>
          <w:color w:val="000000" w:themeColor="text1"/>
        </w:rPr>
        <w:t>N</w:t>
      </w:r>
      <w:r w:rsidR="00F56F14" w:rsidRPr="00646379">
        <w:rPr>
          <w:i w:val="0"/>
          <w:color w:val="000000" w:themeColor="text1"/>
        </w:rPr>
        <w:t>Á</w:t>
      </w:r>
      <w:r w:rsidR="00C85589" w:rsidRPr="00646379">
        <w:rPr>
          <w:i w:val="0"/>
          <w:color w:val="000000" w:themeColor="text1"/>
        </w:rPr>
        <w:t>Z</w:t>
      </w:r>
      <w:r w:rsidR="00F56F14" w:rsidRPr="00646379">
        <w:rPr>
          <w:i w:val="0"/>
          <w:color w:val="000000" w:themeColor="text1"/>
        </w:rPr>
        <w:t>OV ZMENY</w:t>
      </w:r>
      <w:r w:rsidRPr="00646379">
        <w:rPr>
          <w:i w:val="0"/>
          <w:color w:val="000000" w:themeColor="text1"/>
        </w:rPr>
        <w:t xml:space="preserve"> </w:t>
      </w:r>
      <w:r w:rsidR="00F56F14" w:rsidRPr="00646379">
        <w:rPr>
          <w:i w:val="0"/>
          <w:color w:val="000000" w:themeColor="text1"/>
        </w:rPr>
        <w:t>NAVRHOVANEJ</w:t>
      </w:r>
      <w:r w:rsidRPr="00646379">
        <w:rPr>
          <w:i w:val="0"/>
          <w:color w:val="000000" w:themeColor="text1"/>
        </w:rPr>
        <w:t xml:space="preserve"> </w:t>
      </w:r>
      <w:r w:rsidR="00F56F14" w:rsidRPr="00646379">
        <w:rPr>
          <w:i w:val="0"/>
          <w:color w:val="000000" w:themeColor="text1"/>
        </w:rPr>
        <w:t>ČINNOSTI</w:t>
      </w:r>
      <w:bookmarkEnd w:id="7"/>
    </w:p>
    <w:p w14:paraId="077FE326" w14:textId="77777777" w:rsidR="00C85589" w:rsidRPr="00646379" w:rsidRDefault="00C85589" w:rsidP="00C85589">
      <w:pPr>
        <w:pStyle w:val="tlPodaokraja"/>
      </w:pPr>
      <w:r w:rsidRPr="00646379">
        <w:t xml:space="preserve">„Rozšírenie výrobného areálu f. </w:t>
      </w:r>
      <w:proofErr w:type="spellStart"/>
      <w:r w:rsidRPr="00646379">
        <w:t>Tristone</w:t>
      </w:r>
      <w:proofErr w:type="spellEnd"/>
      <w:r w:rsidRPr="00646379">
        <w:t xml:space="preserve"> </w:t>
      </w:r>
      <w:proofErr w:type="spellStart"/>
      <w:r w:rsidRPr="00646379">
        <w:t>Flowtech</w:t>
      </w:r>
      <w:proofErr w:type="spellEnd"/>
      <w:r w:rsidRPr="00646379">
        <w:t xml:space="preserve"> Slovakia s.r.o.“</w:t>
      </w:r>
    </w:p>
    <w:p w14:paraId="5039D1CA" w14:textId="77777777" w:rsidR="00B17AE1" w:rsidRPr="00646379" w:rsidRDefault="00B17AE1">
      <w:pPr>
        <w:rPr>
          <w:b/>
          <w:color w:val="000000" w:themeColor="text1"/>
        </w:rPr>
      </w:pPr>
      <w:r w:rsidRPr="00646379">
        <w:rPr>
          <w:b/>
          <w:color w:val="000000" w:themeColor="text1"/>
        </w:rPr>
        <w:br w:type="page"/>
      </w:r>
    </w:p>
    <w:p w14:paraId="553219EF" w14:textId="77777777" w:rsidR="00B17AE1" w:rsidRPr="00646379" w:rsidRDefault="00B17AE1" w:rsidP="00B17AE1">
      <w:pPr>
        <w:pStyle w:val="Nadpis1"/>
        <w:numPr>
          <w:ilvl w:val="0"/>
          <w:numId w:val="1"/>
        </w:numPr>
        <w:ind w:left="357" w:hanging="357"/>
        <w:rPr>
          <w:i w:val="0"/>
        </w:rPr>
      </w:pPr>
      <w:r w:rsidRPr="00646379">
        <w:rPr>
          <w:i w:val="0"/>
        </w:rPr>
        <w:lastRenderedPageBreak/>
        <w:t xml:space="preserve"> </w:t>
      </w:r>
      <w:bookmarkStart w:id="8" w:name="_Toc31615196"/>
      <w:r w:rsidRPr="00646379">
        <w:rPr>
          <w:i w:val="0"/>
        </w:rPr>
        <w:t>Ú</w:t>
      </w:r>
      <w:r w:rsidR="00F56F14" w:rsidRPr="00646379">
        <w:rPr>
          <w:i w:val="0"/>
        </w:rPr>
        <w:t>DAJE</w:t>
      </w:r>
      <w:r w:rsidRPr="00646379">
        <w:rPr>
          <w:i w:val="0"/>
        </w:rPr>
        <w:t xml:space="preserve"> </w:t>
      </w:r>
      <w:r w:rsidR="00F56F14" w:rsidRPr="00646379">
        <w:rPr>
          <w:i w:val="0"/>
        </w:rPr>
        <w:t>O</w:t>
      </w:r>
      <w:r w:rsidRPr="00646379">
        <w:rPr>
          <w:i w:val="0"/>
        </w:rPr>
        <w:t> </w:t>
      </w:r>
      <w:r w:rsidR="00F56F14" w:rsidRPr="00646379">
        <w:rPr>
          <w:i w:val="0"/>
        </w:rPr>
        <w:t>ZMENE</w:t>
      </w:r>
      <w:r w:rsidRPr="00646379">
        <w:rPr>
          <w:i w:val="0"/>
        </w:rPr>
        <w:t xml:space="preserve"> </w:t>
      </w:r>
      <w:r w:rsidR="00F56F14" w:rsidRPr="00646379">
        <w:rPr>
          <w:i w:val="0"/>
        </w:rPr>
        <w:t>NAVRHOVANEJ ČINNOSTI</w:t>
      </w:r>
      <w:bookmarkEnd w:id="8"/>
    </w:p>
    <w:p w14:paraId="5B525146" w14:textId="77777777" w:rsidR="00F92C4D" w:rsidRDefault="00C85589" w:rsidP="00E02A01">
      <w:pPr>
        <w:pStyle w:val="tlPodaokraja"/>
        <w:rPr>
          <w:bCs/>
          <w:iCs/>
          <w:szCs w:val="26"/>
        </w:rPr>
      </w:pPr>
      <w:r w:rsidRPr="00646379">
        <w:t xml:space="preserve">Investičný zámer rieši vybudovanie skladových a výrobných kapacít v existujúcej prevádzke spoločnosti </w:t>
      </w:r>
      <w:proofErr w:type="spellStart"/>
      <w:r w:rsidRPr="00646379">
        <w:rPr>
          <w:bCs/>
          <w:iCs/>
          <w:szCs w:val="26"/>
        </w:rPr>
        <w:t>Tristone</w:t>
      </w:r>
      <w:proofErr w:type="spellEnd"/>
      <w:r w:rsidRPr="00646379">
        <w:rPr>
          <w:bCs/>
          <w:iCs/>
          <w:szCs w:val="26"/>
        </w:rPr>
        <w:t xml:space="preserve"> </w:t>
      </w:r>
      <w:proofErr w:type="spellStart"/>
      <w:r w:rsidRPr="00646379">
        <w:rPr>
          <w:bCs/>
          <w:iCs/>
          <w:szCs w:val="26"/>
        </w:rPr>
        <w:t>Flowtech</w:t>
      </w:r>
      <w:proofErr w:type="spellEnd"/>
      <w:r w:rsidRPr="00646379">
        <w:rPr>
          <w:bCs/>
          <w:iCs/>
          <w:szCs w:val="26"/>
        </w:rPr>
        <w:t xml:space="preserve"> Slovakia s.r.o.</w:t>
      </w:r>
      <w:r w:rsidRPr="00646379">
        <w:rPr>
          <w:b/>
          <w:i/>
          <w:szCs w:val="26"/>
          <w:u w:val="single"/>
        </w:rPr>
        <w:t xml:space="preserve"> </w:t>
      </w:r>
      <w:r w:rsidRPr="00646379">
        <w:rPr>
          <w:bCs/>
          <w:iCs/>
          <w:szCs w:val="26"/>
        </w:rPr>
        <w:t xml:space="preserve">Spoločnosť </w:t>
      </w:r>
      <w:proofErr w:type="spellStart"/>
      <w:r w:rsidRPr="00646379">
        <w:rPr>
          <w:bCs/>
          <w:iCs/>
          <w:szCs w:val="26"/>
        </w:rPr>
        <w:t>Tristone</w:t>
      </w:r>
      <w:proofErr w:type="spellEnd"/>
      <w:r w:rsidRPr="00646379">
        <w:rPr>
          <w:bCs/>
          <w:iCs/>
          <w:szCs w:val="26"/>
        </w:rPr>
        <w:t xml:space="preserve"> </w:t>
      </w:r>
      <w:proofErr w:type="spellStart"/>
      <w:r w:rsidRPr="00646379">
        <w:rPr>
          <w:bCs/>
          <w:iCs/>
          <w:szCs w:val="26"/>
        </w:rPr>
        <w:t>Flowtech</w:t>
      </w:r>
      <w:proofErr w:type="spellEnd"/>
      <w:r w:rsidRPr="00646379">
        <w:rPr>
          <w:bCs/>
          <w:iCs/>
          <w:szCs w:val="26"/>
        </w:rPr>
        <w:t xml:space="preserve"> sa zaoberá výrobou plastových súčiastok v automobilovom priemysle. Hlavnou využívanou technológiu sú hydraulické vstrekovacie lisy. </w:t>
      </w:r>
    </w:p>
    <w:p w14:paraId="343C55D2" w14:textId="69FE4963" w:rsidR="00C85589" w:rsidRPr="00F92C4D" w:rsidRDefault="00C85589" w:rsidP="00F92C4D">
      <w:pPr>
        <w:pStyle w:val="tlPodaokraja"/>
        <w:rPr>
          <w:bCs/>
          <w:iCs/>
          <w:szCs w:val="26"/>
        </w:rPr>
      </w:pPr>
      <w:r w:rsidRPr="00646379">
        <w:rPr>
          <w:bCs/>
          <w:iCs/>
          <w:szCs w:val="26"/>
        </w:rPr>
        <w:t xml:space="preserve">Uvažovaný zámer bude riešiť vybudovanie skladu vstupných produktov a haly so skladovo-výrobnou funkciou. Presné zloženie výroby ktorá bude v hale umiestnená </w:t>
      </w:r>
      <w:r w:rsidR="00C872C7">
        <w:rPr>
          <w:bCs/>
          <w:iCs/>
          <w:szCs w:val="26"/>
        </w:rPr>
        <w:t>je bližšie špecifikované v príslušných kapitolách tohto Oznámenia,</w:t>
      </w:r>
      <w:r w:rsidRPr="00646379">
        <w:rPr>
          <w:bCs/>
          <w:iCs/>
          <w:szCs w:val="26"/>
        </w:rPr>
        <w:t xml:space="preserve"> pôjde o zariadenia technologicky podobné zariadeniam ktoré sa už v prevádzke používajú. Skladová časť novovybudovanej haly bude slúžiť ako sklad hotových výrobkov. </w:t>
      </w:r>
    </w:p>
    <w:p w14:paraId="09B52CC3" w14:textId="77777777" w:rsidR="00C85589" w:rsidRPr="00646379" w:rsidRDefault="00C85589" w:rsidP="003448EF"/>
    <w:p w14:paraId="0682F5A8" w14:textId="77777777" w:rsidR="00C85589" w:rsidRPr="00646379" w:rsidRDefault="00C85589" w:rsidP="00C85589">
      <w:pPr>
        <w:autoSpaceDE w:val="0"/>
        <w:autoSpaceDN w:val="0"/>
        <w:adjustRightInd w:val="0"/>
      </w:pPr>
      <w:r w:rsidRPr="00646379">
        <w:t>Posudzovaná činnosť predstavuje v zmysle zákona č. 24/2006 Z.z. o posudzovaní vplyvov na životné prostredie a o zmene a doplnení niektorých zákonov v dotknutom prostredí existujúcu činnosť.</w:t>
      </w:r>
    </w:p>
    <w:p w14:paraId="6916E613" w14:textId="4B90CCA9" w:rsidR="00C85589" w:rsidRPr="00646379" w:rsidRDefault="00C85589" w:rsidP="00C85589">
      <w:pPr>
        <w:autoSpaceDE w:val="0"/>
        <w:autoSpaceDN w:val="0"/>
        <w:adjustRightInd w:val="0"/>
      </w:pPr>
      <w:r w:rsidRPr="00646379">
        <w:t>V zmysle Prílohy č. 8 zákona č. 24/2006 Z.z. sa uvažovaná činnosť radí pod nasledovnú položku:</w:t>
      </w:r>
    </w:p>
    <w:p w14:paraId="2E856203" w14:textId="77777777" w:rsidR="00C85589" w:rsidRPr="00646379" w:rsidRDefault="00C85589" w:rsidP="00C85589">
      <w:pPr>
        <w:autoSpaceDE w:val="0"/>
        <w:autoSpaceDN w:val="0"/>
        <w:adjustRightInd w:val="0"/>
      </w:pPr>
    </w:p>
    <w:p w14:paraId="4E0DD146" w14:textId="77777777" w:rsidR="00C85589" w:rsidRPr="00646379" w:rsidRDefault="00C85589" w:rsidP="00C85589">
      <w:pPr>
        <w:autoSpaceDE w:val="0"/>
        <w:autoSpaceDN w:val="0"/>
        <w:adjustRightInd w:val="0"/>
        <w:rPr>
          <w:b/>
          <w:i/>
        </w:rPr>
      </w:pPr>
      <w:r w:rsidRPr="00646379">
        <w:rPr>
          <w:b/>
          <w:i/>
        </w:rPr>
        <w:t>Tabuľka č. 8: „Ostatné priemyselné odvetvia“</w:t>
      </w:r>
    </w:p>
    <w:p w14:paraId="03224F83" w14:textId="77777777" w:rsidR="00C85589" w:rsidRPr="00646379" w:rsidRDefault="00C85589" w:rsidP="00C85589">
      <w:pPr>
        <w:numPr>
          <w:ilvl w:val="0"/>
          <w:numId w:val="19"/>
        </w:numPr>
        <w:autoSpaceDE w:val="0"/>
        <w:autoSpaceDN w:val="0"/>
        <w:adjustRightInd w:val="0"/>
        <w:rPr>
          <w:i/>
          <w:szCs w:val="20"/>
          <w:lang w:eastAsia="en-US"/>
        </w:rPr>
      </w:pPr>
      <w:r w:rsidRPr="00646379">
        <w:rPr>
          <w:b/>
          <w:i/>
        </w:rPr>
        <w:t>Položka č. 10</w:t>
      </w:r>
      <w:r w:rsidRPr="00646379">
        <w:rPr>
          <w:szCs w:val="20"/>
          <w:lang w:eastAsia="en-US"/>
        </w:rPr>
        <w:tab/>
        <w:t>- Ostatné priemyselné zariadenia neuvedené v položkách č. 1 - 9 s výrobnou plochou</w:t>
      </w:r>
    </w:p>
    <w:p w14:paraId="56510957" w14:textId="77777777" w:rsidR="00C85589" w:rsidRPr="00646379" w:rsidRDefault="00C85589" w:rsidP="00C85589">
      <w:pPr>
        <w:autoSpaceDE w:val="0"/>
        <w:autoSpaceDN w:val="0"/>
        <w:adjustRightInd w:val="0"/>
        <w:ind w:left="1080"/>
        <w:rPr>
          <w:i/>
          <w:szCs w:val="20"/>
          <w:lang w:eastAsia="en-US"/>
        </w:rPr>
      </w:pPr>
    </w:p>
    <w:p w14:paraId="7DE023A6" w14:textId="46A88F5D" w:rsidR="00C85589" w:rsidRPr="00646379" w:rsidRDefault="00C85589" w:rsidP="00C85589">
      <w:pPr>
        <w:autoSpaceDE w:val="0"/>
        <w:autoSpaceDN w:val="0"/>
        <w:adjustRightInd w:val="0"/>
        <w:rPr>
          <w:szCs w:val="20"/>
          <w:lang w:eastAsia="en-US"/>
        </w:rPr>
      </w:pPr>
      <w:r w:rsidRPr="00646379">
        <w:rPr>
          <w:szCs w:val="20"/>
          <w:lang w:eastAsia="en-US"/>
        </w:rPr>
        <w:t>Zisťovacie konanie prebieha pri tomto zaradení prevádzky od 1000 m</w:t>
      </w:r>
      <w:r w:rsidRPr="00646379">
        <w:rPr>
          <w:szCs w:val="20"/>
          <w:vertAlign w:val="superscript"/>
          <w:lang w:eastAsia="en-US"/>
        </w:rPr>
        <w:t>2</w:t>
      </w:r>
      <w:r w:rsidRPr="00646379">
        <w:rPr>
          <w:szCs w:val="20"/>
          <w:lang w:eastAsia="en-US"/>
        </w:rPr>
        <w:t xml:space="preserve"> výrobnej plochy. Vzhľadom na to že projektovaná výrobná plocha navrhovaného zariadenia je 2077 m</w:t>
      </w:r>
      <w:r w:rsidRPr="00646379">
        <w:rPr>
          <w:szCs w:val="20"/>
          <w:vertAlign w:val="superscript"/>
          <w:lang w:eastAsia="en-US"/>
        </w:rPr>
        <w:t>2</w:t>
      </w:r>
      <w:r w:rsidR="00A427EB">
        <w:rPr>
          <w:szCs w:val="20"/>
          <w:lang w:eastAsia="en-US"/>
        </w:rPr>
        <w:t xml:space="preserve">, </w:t>
      </w:r>
      <w:r w:rsidRPr="00646379">
        <w:rPr>
          <w:szCs w:val="20"/>
          <w:lang w:eastAsia="en-US"/>
        </w:rPr>
        <w:t>máme za to že činnosť podlieha zisťovaciemu konaniu. Vybudovaných bude taktiež 96 nových parkovacích miest určených pre zamestnancov prevádzky</w:t>
      </w:r>
      <w:r w:rsidR="00C6185B">
        <w:rPr>
          <w:szCs w:val="20"/>
          <w:lang w:eastAsia="en-US"/>
        </w:rPr>
        <w:t xml:space="preserve">. Tieto parkovacie miesta nahradia existujúce parkovacie miesta. </w:t>
      </w:r>
    </w:p>
    <w:p w14:paraId="1AC48E5E" w14:textId="77777777" w:rsidR="00C85589" w:rsidRPr="00646379" w:rsidRDefault="00C85589" w:rsidP="00C85589">
      <w:pPr>
        <w:autoSpaceDE w:val="0"/>
        <w:autoSpaceDN w:val="0"/>
        <w:adjustRightInd w:val="0"/>
        <w:rPr>
          <w:szCs w:val="20"/>
          <w:lang w:eastAsia="en-US"/>
        </w:rPr>
      </w:pPr>
    </w:p>
    <w:p w14:paraId="019677C1" w14:textId="77777777" w:rsidR="00C85589" w:rsidRPr="00646379" w:rsidRDefault="00D65100" w:rsidP="00C85589">
      <w:pPr>
        <w:pStyle w:val="Nadpis2"/>
        <w:numPr>
          <w:ilvl w:val="0"/>
          <w:numId w:val="3"/>
        </w:numPr>
        <w:rPr>
          <w:i w:val="0"/>
        </w:rPr>
      </w:pPr>
      <w:bookmarkStart w:id="9" w:name="_Toc31615197"/>
      <w:r w:rsidRPr="00646379">
        <w:rPr>
          <w:i w:val="0"/>
        </w:rPr>
        <w:t>Umiestnenie navrhovanej činnost</w:t>
      </w:r>
      <w:r w:rsidR="00C85589" w:rsidRPr="00646379">
        <w:rPr>
          <w:i w:val="0"/>
        </w:rPr>
        <w:t>i</w:t>
      </w:r>
      <w:bookmarkEnd w:id="9"/>
    </w:p>
    <w:p w14:paraId="047CE528" w14:textId="77777777" w:rsidR="00C85589" w:rsidRPr="00646379" w:rsidRDefault="00C85589" w:rsidP="00C85589"/>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85589" w:rsidRPr="00646379" w14:paraId="0899B353" w14:textId="77777777" w:rsidTr="00646379">
        <w:tc>
          <w:tcPr>
            <w:tcW w:w="4606" w:type="dxa"/>
          </w:tcPr>
          <w:p w14:paraId="466FF24B"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Kraj:</w:t>
            </w:r>
          </w:p>
        </w:tc>
        <w:tc>
          <w:tcPr>
            <w:tcW w:w="4606" w:type="dxa"/>
          </w:tcPr>
          <w:p w14:paraId="4FAF0683" w14:textId="77777777" w:rsidR="00C85589" w:rsidRPr="00646379" w:rsidRDefault="00C85589" w:rsidP="00646379">
            <w:pPr>
              <w:tabs>
                <w:tab w:val="left" w:pos="-2340"/>
                <w:tab w:val="left" w:pos="-2160"/>
                <w:tab w:val="left" w:pos="-840"/>
                <w:tab w:val="left" w:pos="-675"/>
                <w:tab w:val="left" w:pos="-240"/>
              </w:tabs>
              <w:rPr>
                <w:rFonts w:asciiTheme="majorHAnsi" w:hAnsiTheme="majorHAnsi"/>
                <w:sz w:val="24"/>
              </w:rPr>
            </w:pPr>
            <w:r w:rsidRPr="00646379">
              <w:t>Banskobystricky</w:t>
            </w:r>
          </w:p>
        </w:tc>
      </w:tr>
      <w:tr w:rsidR="00C85589" w:rsidRPr="00646379" w14:paraId="0E8ED584" w14:textId="77777777" w:rsidTr="00646379">
        <w:tc>
          <w:tcPr>
            <w:tcW w:w="4606" w:type="dxa"/>
          </w:tcPr>
          <w:p w14:paraId="0B812191" w14:textId="77777777" w:rsidR="00C85589" w:rsidRPr="00646379" w:rsidRDefault="00C85589" w:rsidP="00646379">
            <w:pPr>
              <w:tabs>
                <w:tab w:val="left" w:pos="-2340"/>
                <w:tab w:val="left" w:pos="-2160"/>
                <w:tab w:val="left" w:pos="-840"/>
                <w:tab w:val="left" w:pos="-675"/>
                <w:tab w:val="left" w:pos="-240"/>
                <w:tab w:val="left" w:pos="1080"/>
              </w:tabs>
              <w:rPr>
                <w:rFonts w:asciiTheme="majorHAnsi" w:hAnsiTheme="majorHAnsi"/>
                <w:b/>
                <w:sz w:val="24"/>
              </w:rPr>
            </w:pPr>
            <w:r w:rsidRPr="00646379">
              <w:rPr>
                <w:rFonts w:asciiTheme="majorHAnsi" w:hAnsiTheme="majorHAnsi"/>
                <w:b/>
                <w:sz w:val="24"/>
              </w:rPr>
              <w:t>Okres:</w:t>
            </w:r>
          </w:p>
        </w:tc>
        <w:tc>
          <w:tcPr>
            <w:tcW w:w="4606" w:type="dxa"/>
          </w:tcPr>
          <w:p w14:paraId="73F163CE" w14:textId="77777777" w:rsidR="00C85589" w:rsidRPr="00646379" w:rsidRDefault="00C85589" w:rsidP="00646379">
            <w:pPr>
              <w:tabs>
                <w:tab w:val="left" w:pos="-2340"/>
                <w:tab w:val="left" w:pos="-2160"/>
                <w:tab w:val="left" w:pos="-840"/>
                <w:tab w:val="left" w:pos="-675"/>
                <w:tab w:val="left" w:pos="-240"/>
              </w:tabs>
              <w:rPr>
                <w:rFonts w:asciiTheme="majorHAnsi" w:hAnsiTheme="majorHAnsi"/>
                <w:sz w:val="24"/>
              </w:rPr>
            </w:pPr>
            <w:r w:rsidRPr="00646379">
              <w:t>Žarnovica</w:t>
            </w:r>
          </w:p>
        </w:tc>
      </w:tr>
      <w:tr w:rsidR="00C85589" w:rsidRPr="00646379" w14:paraId="01570861" w14:textId="77777777" w:rsidTr="00646379">
        <w:tc>
          <w:tcPr>
            <w:tcW w:w="4606" w:type="dxa"/>
          </w:tcPr>
          <w:p w14:paraId="18A1F036"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Obec:</w:t>
            </w:r>
          </w:p>
        </w:tc>
        <w:tc>
          <w:tcPr>
            <w:tcW w:w="4606" w:type="dxa"/>
          </w:tcPr>
          <w:p w14:paraId="1789177E" w14:textId="77777777" w:rsidR="00C85589" w:rsidRPr="00646379" w:rsidRDefault="00C85589" w:rsidP="00646379">
            <w:pPr>
              <w:rPr>
                <w:rFonts w:asciiTheme="majorHAnsi" w:hAnsiTheme="majorHAnsi"/>
              </w:rPr>
            </w:pPr>
            <w:r w:rsidRPr="00646379">
              <w:t>Nová Baňa</w:t>
            </w:r>
          </w:p>
        </w:tc>
      </w:tr>
      <w:tr w:rsidR="00C85589" w:rsidRPr="00646379" w14:paraId="734ED9A3" w14:textId="77777777" w:rsidTr="00646379">
        <w:tc>
          <w:tcPr>
            <w:tcW w:w="4606" w:type="dxa"/>
          </w:tcPr>
          <w:p w14:paraId="02E92F48"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Katastrálne územie:</w:t>
            </w:r>
          </w:p>
        </w:tc>
        <w:tc>
          <w:tcPr>
            <w:tcW w:w="4606" w:type="dxa"/>
          </w:tcPr>
          <w:p w14:paraId="46C79FEB" w14:textId="77777777" w:rsidR="00C85589" w:rsidRPr="00646379" w:rsidRDefault="00C85589" w:rsidP="00646379">
            <w:pPr>
              <w:rPr>
                <w:rFonts w:asciiTheme="majorHAnsi" w:hAnsiTheme="majorHAnsi"/>
              </w:rPr>
            </w:pPr>
            <w:r w:rsidRPr="00646379">
              <w:t>Nová Baňa</w:t>
            </w:r>
          </w:p>
        </w:tc>
      </w:tr>
      <w:tr w:rsidR="00C85589" w:rsidRPr="00646379" w14:paraId="44D83F9C" w14:textId="77777777" w:rsidTr="00646379">
        <w:tc>
          <w:tcPr>
            <w:tcW w:w="4606" w:type="dxa"/>
          </w:tcPr>
          <w:p w14:paraId="33003CF3" w14:textId="77777777" w:rsidR="00C85589" w:rsidRPr="00646379" w:rsidRDefault="00C85589" w:rsidP="00646379">
            <w:pPr>
              <w:tabs>
                <w:tab w:val="left" w:pos="-2340"/>
                <w:tab w:val="left" w:pos="-2160"/>
                <w:tab w:val="left" w:pos="-840"/>
                <w:tab w:val="left" w:pos="-675"/>
                <w:tab w:val="left" w:pos="-240"/>
              </w:tabs>
              <w:rPr>
                <w:rFonts w:asciiTheme="majorHAnsi" w:hAnsiTheme="majorHAnsi"/>
                <w:b/>
                <w:sz w:val="24"/>
              </w:rPr>
            </w:pPr>
            <w:r w:rsidRPr="00646379">
              <w:rPr>
                <w:rFonts w:asciiTheme="majorHAnsi" w:hAnsiTheme="majorHAnsi"/>
                <w:b/>
                <w:sz w:val="24"/>
              </w:rPr>
              <w:t>Parcelné číslo:</w:t>
            </w:r>
          </w:p>
        </w:tc>
        <w:tc>
          <w:tcPr>
            <w:tcW w:w="4606" w:type="dxa"/>
          </w:tcPr>
          <w:p w14:paraId="2B2EFE23" w14:textId="77777777" w:rsidR="00C85589" w:rsidRPr="00646379" w:rsidRDefault="00C85589" w:rsidP="00646379">
            <w:pPr>
              <w:rPr>
                <w:rFonts w:asciiTheme="majorHAnsi" w:hAnsiTheme="majorHAnsi"/>
              </w:rPr>
            </w:pPr>
            <w:proofErr w:type="spellStart"/>
            <w:r w:rsidRPr="00646379">
              <w:t>p.č</w:t>
            </w:r>
            <w:proofErr w:type="spellEnd"/>
            <w:r w:rsidRPr="00646379">
              <w:t>. 4837/1,4837/8,4837/9,4837/10,4837/33</w:t>
            </w:r>
          </w:p>
        </w:tc>
      </w:tr>
    </w:tbl>
    <w:p w14:paraId="370D14AC" w14:textId="2F23BD4C" w:rsidR="000A471E" w:rsidRDefault="00C85589" w:rsidP="000A471E">
      <w:r w:rsidRPr="00646379">
        <w:tab/>
      </w:r>
    </w:p>
    <w:p w14:paraId="0921D5BE" w14:textId="4FD89CD4" w:rsidR="00606EB1" w:rsidRDefault="00606EB1" w:rsidP="000A471E">
      <w:r>
        <w:t xml:space="preserve">Prevádzka spoločnosti </w:t>
      </w:r>
      <w:proofErr w:type="spellStart"/>
      <w:r>
        <w:t>Tristone</w:t>
      </w:r>
      <w:proofErr w:type="spellEnd"/>
      <w:r>
        <w:t xml:space="preserve"> sa nachádza v priemyselnej oblasti mesta Nová Baňa. Dopravné napojenie je riešené z cesty I/65 ktorá je priamo napojená na rýchlostnú cestu R1, bez nutnosti prejazdu cez sídelnú časť mesta Nová Baňa, čo predstavuje mimoriadne výhodné dopravné napojenie a zároveň zaručuje že obyvateľstvo mesta nebude významne dotknuté dopravou súvisiacou s navrhovanou zmenou.</w:t>
      </w:r>
    </w:p>
    <w:p w14:paraId="44054A7B" w14:textId="77777777" w:rsidR="007C5303" w:rsidRPr="00646379" w:rsidRDefault="007C5303" w:rsidP="000A471E"/>
    <w:p w14:paraId="0BDECB87" w14:textId="77777777" w:rsidR="003543AA" w:rsidRPr="004414A5" w:rsidRDefault="003543AA" w:rsidP="009207DD">
      <w:pPr>
        <w:pStyle w:val="Nadpis2"/>
        <w:keepNext/>
        <w:numPr>
          <w:ilvl w:val="0"/>
          <w:numId w:val="3"/>
        </w:numPr>
        <w:spacing w:line="240" w:lineRule="auto"/>
        <w:ind w:left="714" w:hanging="357"/>
        <w:rPr>
          <w:i w:val="0"/>
        </w:rPr>
      </w:pPr>
      <w:bookmarkStart w:id="10" w:name="_Toc31615198"/>
      <w:r w:rsidRPr="004414A5">
        <w:rPr>
          <w:i w:val="0"/>
        </w:rPr>
        <w:lastRenderedPageBreak/>
        <w:t>Stručný opis technického a technologického riešenia vrátane požiadaviek na vstupy a údajov o</w:t>
      </w:r>
      <w:r w:rsidR="00EB1EB9" w:rsidRPr="004414A5">
        <w:rPr>
          <w:i w:val="0"/>
        </w:rPr>
        <w:t> </w:t>
      </w:r>
      <w:r w:rsidRPr="004414A5">
        <w:rPr>
          <w:i w:val="0"/>
        </w:rPr>
        <w:t>výstupoch</w:t>
      </w:r>
      <w:bookmarkEnd w:id="10"/>
    </w:p>
    <w:p w14:paraId="0B4B347F" w14:textId="77777777" w:rsidR="004414A5" w:rsidRDefault="004414A5" w:rsidP="000B75BC">
      <w:pPr>
        <w:rPr>
          <w:b/>
          <w:highlight w:val="yellow"/>
        </w:rPr>
      </w:pPr>
    </w:p>
    <w:p w14:paraId="16FC7EA5" w14:textId="3A348125" w:rsidR="002E278A" w:rsidRPr="009D37E9" w:rsidRDefault="006E17D5" w:rsidP="000B75BC">
      <w:pPr>
        <w:rPr>
          <w:b/>
          <w:i/>
          <w:iCs/>
          <w:u w:val="single"/>
        </w:rPr>
      </w:pPr>
      <w:r w:rsidRPr="009D37E9">
        <w:rPr>
          <w:b/>
          <w:i/>
          <w:iCs/>
          <w:u w:val="single"/>
        </w:rPr>
        <w:t xml:space="preserve">Umiestnenie </w:t>
      </w:r>
    </w:p>
    <w:p w14:paraId="6F934EEA" w14:textId="2597BD7C" w:rsidR="00780F73" w:rsidRPr="004414A5" w:rsidRDefault="006E17D5" w:rsidP="000B75BC">
      <w:r w:rsidRPr="004414A5">
        <w:t>V súvislosti so zmenou navrhovanej činnosti sa nemení pôvodné umiestnenie</w:t>
      </w:r>
      <w:r w:rsidR="00C872C7">
        <w:t xml:space="preserve"> – lokalita v meste Nová Baňa, ktorá ma charakter priemyselnej oblasti. Bližšie informácie sú uvedené v kapitole </w:t>
      </w:r>
      <w:r w:rsidR="00C872C7" w:rsidRPr="00606EB1">
        <w:rPr>
          <w:i/>
          <w:iCs/>
        </w:rPr>
        <w:t>Umiestnenie navrhovanej činnosti</w:t>
      </w:r>
      <w:r w:rsidR="00C872C7">
        <w:t>.</w:t>
      </w:r>
    </w:p>
    <w:p w14:paraId="01475216" w14:textId="77777777" w:rsidR="006E17D5" w:rsidRPr="00646379" w:rsidRDefault="006E17D5" w:rsidP="000B75BC">
      <w:pPr>
        <w:rPr>
          <w:highlight w:val="yellow"/>
        </w:rPr>
      </w:pPr>
    </w:p>
    <w:p w14:paraId="2824B8D6" w14:textId="3ABF1842" w:rsidR="006E17D5" w:rsidRPr="009D37E9" w:rsidRDefault="00D333A3" w:rsidP="000B75BC">
      <w:pPr>
        <w:rPr>
          <w:b/>
          <w:i/>
          <w:iCs/>
          <w:u w:val="single"/>
        </w:rPr>
      </w:pPr>
      <w:r w:rsidRPr="009D37E9">
        <w:rPr>
          <w:b/>
          <w:i/>
          <w:iCs/>
          <w:u w:val="single"/>
        </w:rPr>
        <w:t>Členenie stavby na stavebné objekty a prevádzkové súbory</w:t>
      </w:r>
    </w:p>
    <w:p w14:paraId="23D3AEFB" w14:textId="4A406157" w:rsidR="006E17D5" w:rsidRDefault="00D333A3" w:rsidP="000B75BC">
      <w:r>
        <w:t>Navrhovaná zmena bude predstavovať vybudovanie nových stavebných objektov a prevádzkových súborov v nasledujúcom rozsahu:</w:t>
      </w:r>
    </w:p>
    <w:p w14:paraId="22E316B5" w14:textId="1A9C4236" w:rsidR="00D333A3" w:rsidRDefault="00D333A3" w:rsidP="00D333A3">
      <w:pPr>
        <w:pStyle w:val="Odsekzoznamu"/>
        <w:numPr>
          <w:ilvl w:val="0"/>
          <w:numId w:val="24"/>
        </w:numPr>
      </w:pPr>
      <w:r>
        <w:t>SO 01 – Výrobná hala (tento objekt je jestvujúci, dôjde v ňom k stavebným úpravám)</w:t>
      </w:r>
    </w:p>
    <w:p w14:paraId="77A4D041" w14:textId="41446646" w:rsidR="00D333A3" w:rsidRDefault="00D333A3" w:rsidP="00D333A3">
      <w:pPr>
        <w:pStyle w:val="Odsekzoznamu"/>
        <w:numPr>
          <w:ilvl w:val="0"/>
          <w:numId w:val="24"/>
        </w:numPr>
      </w:pPr>
      <w:r>
        <w:t>SO 02 – Výrobná hala – prístavba</w:t>
      </w:r>
    </w:p>
    <w:p w14:paraId="6B4F6C2A" w14:textId="7B754638" w:rsidR="00D333A3" w:rsidRDefault="00D333A3" w:rsidP="00D333A3">
      <w:pPr>
        <w:pStyle w:val="Odsekzoznamu"/>
        <w:numPr>
          <w:ilvl w:val="0"/>
          <w:numId w:val="24"/>
        </w:numPr>
      </w:pPr>
      <w:r>
        <w:t>SO 03 – Prestavba skladu</w:t>
      </w:r>
    </w:p>
    <w:p w14:paraId="68A92F3C" w14:textId="714EFD3A" w:rsidR="00D333A3" w:rsidRDefault="00D333A3" w:rsidP="00D333A3">
      <w:pPr>
        <w:pStyle w:val="Odsekzoznamu"/>
        <w:numPr>
          <w:ilvl w:val="0"/>
          <w:numId w:val="24"/>
        </w:numPr>
      </w:pPr>
      <w:r>
        <w:t xml:space="preserve">SO 04 – Vrátnica </w:t>
      </w:r>
    </w:p>
    <w:p w14:paraId="7524146E" w14:textId="4E599370" w:rsidR="00D333A3" w:rsidRDefault="00D333A3" w:rsidP="00D333A3">
      <w:pPr>
        <w:pStyle w:val="Odsekzoznamu"/>
        <w:numPr>
          <w:ilvl w:val="0"/>
          <w:numId w:val="24"/>
        </w:numPr>
      </w:pPr>
      <w:r>
        <w:t xml:space="preserve">SO 05 – Manipulačné plochy, úprava vjazdu </w:t>
      </w:r>
    </w:p>
    <w:p w14:paraId="5CFE039E" w14:textId="4AB42056" w:rsidR="00D333A3" w:rsidRDefault="00D333A3" w:rsidP="00D333A3">
      <w:pPr>
        <w:pStyle w:val="Odsekzoznamu"/>
        <w:numPr>
          <w:ilvl w:val="0"/>
          <w:numId w:val="24"/>
        </w:numPr>
      </w:pPr>
      <w:r>
        <w:t xml:space="preserve">SO 06 – Kanalizácia splašková, žumpa  </w:t>
      </w:r>
    </w:p>
    <w:p w14:paraId="70ED998D" w14:textId="1D083821" w:rsidR="00D333A3" w:rsidRDefault="00D333A3" w:rsidP="00D333A3">
      <w:pPr>
        <w:pStyle w:val="Odsekzoznamu"/>
        <w:numPr>
          <w:ilvl w:val="0"/>
          <w:numId w:val="24"/>
        </w:numPr>
      </w:pPr>
      <w:r>
        <w:t xml:space="preserve">SO 07 – Dažďová kanalizácia, </w:t>
      </w:r>
      <w:proofErr w:type="spellStart"/>
      <w:r>
        <w:t>vsak</w:t>
      </w:r>
      <w:proofErr w:type="spellEnd"/>
      <w:r>
        <w:t>, ORL</w:t>
      </w:r>
    </w:p>
    <w:p w14:paraId="0425F90F" w14:textId="28213FC0" w:rsidR="00D333A3" w:rsidRDefault="00D333A3" w:rsidP="00D333A3">
      <w:pPr>
        <w:pStyle w:val="Odsekzoznamu"/>
        <w:numPr>
          <w:ilvl w:val="0"/>
          <w:numId w:val="24"/>
        </w:numPr>
      </w:pPr>
      <w:r>
        <w:t>SO 08 – Požiarny vodovod, požiarna nádrž, ATS</w:t>
      </w:r>
    </w:p>
    <w:p w14:paraId="4092213E" w14:textId="081DC92E" w:rsidR="00D333A3" w:rsidRDefault="00D333A3" w:rsidP="00D333A3">
      <w:pPr>
        <w:pStyle w:val="Odsekzoznamu"/>
        <w:numPr>
          <w:ilvl w:val="0"/>
          <w:numId w:val="24"/>
        </w:numPr>
      </w:pPr>
      <w:r>
        <w:t>SO 09 – Oplotenie, brána</w:t>
      </w:r>
    </w:p>
    <w:p w14:paraId="79BB92FE" w14:textId="3900A1E2" w:rsidR="00D333A3" w:rsidRDefault="00D333A3" w:rsidP="00D333A3">
      <w:pPr>
        <w:pStyle w:val="Odsekzoznamu"/>
        <w:numPr>
          <w:ilvl w:val="0"/>
          <w:numId w:val="24"/>
        </w:numPr>
      </w:pPr>
      <w:r>
        <w:t>SO 10 – Vonkajšie osvetlenie</w:t>
      </w:r>
    </w:p>
    <w:p w14:paraId="57AFF1B4" w14:textId="43B7B8C8" w:rsidR="00D333A3" w:rsidRDefault="00D333A3" w:rsidP="00D333A3">
      <w:pPr>
        <w:pStyle w:val="Odsekzoznamu"/>
        <w:numPr>
          <w:ilvl w:val="0"/>
          <w:numId w:val="24"/>
        </w:numPr>
      </w:pPr>
      <w:r>
        <w:t>SO 11 – Trafostanica – rozšírenie</w:t>
      </w:r>
    </w:p>
    <w:p w14:paraId="7A38AD90" w14:textId="1C6444D5" w:rsidR="00D333A3" w:rsidRDefault="00D333A3" w:rsidP="00D333A3"/>
    <w:p w14:paraId="4DB15E51" w14:textId="46DDAE75" w:rsidR="00D333A3" w:rsidRDefault="00D333A3" w:rsidP="00D333A3">
      <w:pPr>
        <w:pStyle w:val="Odsekzoznamu"/>
        <w:numPr>
          <w:ilvl w:val="0"/>
          <w:numId w:val="24"/>
        </w:numPr>
      </w:pPr>
      <w:r>
        <w:t>PS 01 – Výrobné zariadenia</w:t>
      </w:r>
    </w:p>
    <w:p w14:paraId="417A9DBD" w14:textId="5A834DB3" w:rsidR="00D333A3" w:rsidRDefault="00D333A3" w:rsidP="00D333A3">
      <w:pPr>
        <w:pStyle w:val="Odsekzoznamu"/>
        <w:numPr>
          <w:ilvl w:val="0"/>
          <w:numId w:val="24"/>
        </w:numPr>
      </w:pPr>
      <w:r>
        <w:t>PS 02 – Prevádzkový rozvod silnoprúdu</w:t>
      </w:r>
    </w:p>
    <w:p w14:paraId="7A48C123" w14:textId="5E249D32" w:rsidR="00D333A3" w:rsidRDefault="00D333A3" w:rsidP="00D333A3">
      <w:pPr>
        <w:pStyle w:val="Odsekzoznamu"/>
        <w:numPr>
          <w:ilvl w:val="0"/>
          <w:numId w:val="24"/>
        </w:numPr>
      </w:pPr>
      <w:r>
        <w:t xml:space="preserve">PS 03 – Prevádzkové potrubie (stlačený vzduch, </w:t>
      </w:r>
      <w:proofErr w:type="spellStart"/>
      <w:r>
        <w:t>kompresorovňa</w:t>
      </w:r>
      <w:proofErr w:type="spellEnd"/>
      <w:r>
        <w:t>)</w:t>
      </w:r>
    </w:p>
    <w:p w14:paraId="3DAF7C5A" w14:textId="4C4FCC19" w:rsidR="00D333A3" w:rsidRDefault="00D333A3" w:rsidP="00D333A3">
      <w:pPr>
        <w:pStyle w:val="Odsekzoznamu"/>
        <w:numPr>
          <w:ilvl w:val="0"/>
          <w:numId w:val="24"/>
        </w:numPr>
      </w:pPr>
      <w:r>
        <w:t>PS 04 – Prevádzkové potrubie (chladiaca voda)</w:t>
      </w:r>
    </w:p>
    <w:p w14:paraId="2C55B1DA" w14:textId="2E0F2F8E" w:rsidR="00D333A3" w:rsidRPr="00C872C7" w:rsidRDefault="00D333A3" w:rsidP="00D333A3">
      <w:pPr>
        <w:pStyle w:val="Odsekzoznamu"/>
        <w:numPr>
          <w:ilvl w:val="0"/>
          <w:numId w:val="24"/>
        </w:numPr>
      </w:pPr>
      <w:r>
        <w:t>PS 05 – Silá, pneumatická doprava materiálu</w:t>
      </w:r>
    </w:p>
    <w:p w14:paraId="0AEC8BDF" w14:textId="61678F17" w:rsidR="00780F73" w:rsidRDefault="00780F73" w:rsidP="000B75BC">
      <w:pPr>
        <w:rPr>
          <w:highlight w:val="yellow"/>
        </w:rPr>
      </w:pPr>
    </w:p>
    <w:p w14:paraId="5CE95167" w14:textId="618A3C37" w:rsidR="00E10A32" w:rsidRPr="00E10A32" w:rsidRDefault="00E10A32" w:rsidP="000B75BC">
      <w:pPr>
        <w:rPr>
          <w:b/>
          <w:bCs/>
          <w:i/>
          <w:iCs/>
        </w:rPr>
      </w:pPr>
      <w:r w:rsidRPr="00E10A32">
        <w:rPr>
          <w:b/>
          <w:bCs/>
          <w:i/>
          <w:iCs/>
        </w:rPr>
        <w:t>SO 01 – Výrobná hala</w:t>
      </w:r>
    </w:p>
    <w:p w14:paraId="0F34FFD9" w14:textId="026A64C5" w:rsidR="00E10A32" w:rsidRDefault="00E10A32" w:rsidP="000B75BC">
      <w:r>
        <w:t>Ide o existujúci stavebný objekt – pôvodná výrobná hala. Pôvodná technológia zostane navrhovanou zmenou nedotknutá, vo výrobnej hale dôjde k modifikácii existujúceho skladu</w:t>
      </w:r>
      <w:r w:rsidR="007321B0">
        <w:t xml:space="preserve">, ktorý bude stavebne predelený murovanou priečkou na dve časti a pridelený k výrobným priestorom. </w:t>
      </w:r>
    </w:p>
    <w:p w14:paraId="31241422" w14:textId="50252B66" w:rsidR="007321B0" w:rsidRDefault="007321B0" w:rsidP="000B75BC"/>
    <w:p w14:paraId="3CFEDA19" w14:textId="17B6B789" w:rsidR="007321B0" w:rsidRDefault="007321B0" w:rsidP="000B75BC">
      <w:pPr>
        <w:rPr>
          <w:b/>
          <w:bCs/>
          <w:i/>
          <w:iCs/>
        </w:rPr>
      </w:pPr>
      <w:r w:rsidRPr="007321B0">
        <w:rPr>
          <w:b/>
          <w:bCs/>
          <w:i/>
          <w:iCs/>
        </w:rPr>
        <w:t xml:space="preserve">SO 02 – Výrobná hala </w:t>
      </w:r>
      <w:r>
        <w:rPr>
          <w:b/>
          <w:bCs/>
          <w:i/>
          <w:iCs/>
        </w:rPr>
        <w:t>–</w:t>
      </w:r>
      <w:r w:rsidRPr="007321B0">
        <w:rPr>
          <w:b/>
          <w:bCs/>
          <w:i/>
          <w:iCs/>
        </w:rPr>
        <w:t xml:space="preserve"> prístavba</w:t>
      </w:r>
    </w:p>
    <w:p w14:paraId="2CEF8087" w14:textId="59B15082" w:rsidR="007321B0" w:rsidRPr="00F438F7" w:rsidRDefault="007321B0" w:rsidP="007321B0">
      <w:r w:rsidRPr="007321B0">
        <w:t xml:space="preserve">Tento stavebný objekt predstavuje jadro zmeny a budú v ňom situované </w:t>
      </w:r>
      <w:proofErr w:type="spellStart"/>
      <w:r w:rsidRPr="007321B0">
        <w:t>novoinštalované</w:t>
      </w:r>
      <w:proofErr w:type="spellEnd"/>
      <w:r w:rsidRPr="007321B0">
        <w:t xml:space="preserve"> výrobné zariadenia.</w:t>
      </w:r>
      <w:r>
        <w:rPr>
          <w:b/>
          <w:bCs/>
          <w:i/>
          <w:iCs/>
        </w:rPr>
        <w:t xml:space="preserve"> </w:t>
      </w:r>
      <w:r w:rsidRPr="00F438F7">
        <w:t xml:space="preserve">Jedná sa o prístavbu výrobnej haly so skladovými priestormi, nosnú konštrukciu </w:t>
      </w:r>
      <w:r>
        <w:t>t</w:t>
      </w:r>
      <w:r w:rsidRPr="00F438F7">
        <w:t xml:space="preserve">voria oceľové stĺpy a oceľové väzníky, </w:t>
      </w:r>
      <w:r>
        <w:t xml:space="preserve">zakladanie OK na ŽB pätkách alebo </w:t>
      </w:r>
      <w:proofErr w:type="spellStart"/>
      <w:r>
        <w:t>pilotách</w:t>
      </w:r>
      <w:proofErr w:type="spellEnd"/>
      <w:r>
        <w:t xml:space="preserve">, </w:t>
      </w:r>
      <w:r w:rsidRPr="00F438F7">
        <w:t xml:space="preserve">opláštenie je tvorené sendvičovými panelmi, </w:t>
      </w:r>
      <w:r>
        <w:t>s</w:t>
      </w:r>
      <w:r w:rsidRPr="00F438F7">
        <w:t>trešný plášť skladaný,</w:t>
      </w:r>
      <w:r>
        <w:t xml:space="preserve"> výplne otvorov plastové resp. h</w:t>
      </w:r>
      <w:r w:rsidRPr="00F438F7">
        <w:t>liníkové. Brány sú navrhnuté sekčné zateplené. Dve br</w:t>
      </w:r>
      <w:r>
        <w:t>ány budú s tesniacou manžetou a h</w:t>
      </w:r>
      <w:r w:rsidRPr="00F438F7">
        <w:t>ydraulickým vyrovnávacím mostíkom. Strešné svetlíky zateplené elektronicky ovládané.</w:t>
      </w:r>
      <w:r>
        <w:t xml:space="preserve"> </w:t>
      </w:r>
      <w:r w:rsidRPr="00F438F7">
        <w:t xml:space="preserve">V priestore novej výrobnej haly je situovaný </w:t>
      </w:r>
      <w:proofErr w:type="spellStart"/>
      <w:r w:rsidRPr="00F438F7">
        <w:t>vstavok</w:t>
      </w:r>
      <w:proofErr w:type="spellEnd"/>
      <w:r w:rsidRPr="00F438F7">
        <w:t xml:space="preserve"> s hygienickými zariadeniami.</w:t>
      </w:r>
    </w:p>
    <w:p w14:paraId="5CF26278" w14:textId="529ABDAB" w:rsidR="007321B0" w:rsidRDefault="007321B0" w:rsidP="000B75BC">
      <w:pPr>
        <w:rPr>
          <w:b/>
          <w:bCs/>
          <w:i/>
          <w:iCs/>
        </w:rPr>
      </w:pPr>
    </w:p>
    <w:p w14:paraId="4CEC2939" w14:textId="29FA464F" w:rsidR="007321B0" w:rsidRDefault="007321B0" w:rsidP="007321B0">
      <w:pPr>
        <w:rPr>
          <w:b/>
          <w:bCs/>
          <w:i/>
          <w:iCs/>
        </w:rPr>
      </w:pPr>
      <w:r w:rsidRPr="007321B0">
        <w:rPr>
          <w:b/>
          <w:bCs/>
          <w:i/>
          <w:iCs/>
        </w:rPr>
        <w:t>SO 0</w:t>
      </w:r>
      <w:r>
        <w:rPr>
          <w:b/>
          <w:bCs/>
          <w:i/>
          <w:iCs/>
        </w:rPr>
        <w:t>3</w:t>
      </w:r>
      <w:r w:rsidRPr="007321B0">
        <w:rPr>
          <w:b/>
          <w:bCs/>
          <w:i/>
          <w:iCs/>
        </w:rPr>
        <w:t xml:space="preserve"> – </w:t>
      </w:r>
      <w:r>
        <w:rPr>
          <w:b/>
          <w:bCs/>
          <w:i/>
          <w:iCs/>
        </w:rPr>
        <w:t>Prestavba skladu</w:t>
      </w:r>
    </w:p>
    <w:p w14:paraId="0E60743C" w14:textId="175602AC" w:rsidR="007321B0" w:rsidRDefault="007321B0" w:rsidP="007321B0">
      <w:r>
        <w:t>Stavebné úpravy objektu SO 03 zahŕ</w:t>
      </w:r>
      <w:r w:rsidRPr="00F438F7">
        <w:t xml:space="preserve">ňajú čiastočnú asanáciu objektu  a čiastočnú </w:t>
      </w:r>
      <w:r>
        <w:t>p</w:t>
      </w:r>
      <w:r w:rsidRPr="00F438F7">
        <w:t xml:space="preserve">restavbu. </w:t>
      </w:r>
      <w:r>
        <w:t xml:space="preserve">Skladové priestory budú asanované a časť so šatňami bude rekonštruovaná. </w:t>
      </w:r>
      <w:r w:rsidRPr="00F438F7">
        <w:t xml:space="preserve">Nosná </w:t>
      </w:r>
      <w:r w:rsidRPr="00F438F7">
        <w:lastRenderedPageBreak/>
        <w:t>konštrukcia oceľová, zakladanie</w:t>
      </w:r>
      <w:r>
        <w:t xml:space="preserve"> OK</w:t>
      </w:r>
      <w:r w:rsidRPr="00F438F7">
        <w:t xml:space="preserve"> na </w:t>
      </w:r>
      <w:r>
        <w:t>ŽB</w:t>
      </w:r>
      <w:r w:rsidRPr="00F438F7">
        <w:t xml:space="preserve"> pätkách alebo </w:t>
      </w:r>
      <w:proofErr w:type="spellStart"/>
      <w:r w:rsidRPr="00F438F7">
        <w:t>pilotách</w:t>
      </w:r>
      <w:proofErr w:type="spellEnd"/>
      <w:r w:rsidRPr="00F438F7">
        <w:t xml:space="preserve">, </w:t>
      </w:r>
      <w:r>
        <w:t>o</w:t>
      </w:r>
      <w:r w:rsidRPr="00F438F7">
        <w:t xml:space="preserve">pláštenie objektu sendvičovými panelmi, strecha skladaný plášť, výplne otvorov </w:t>
      </w:r>
      <w:r>
        <w:t>p</w:t>
      </w:r>
      <w:r w:rsidRPr="00F438F7">
        <w:t>lastové alebo hliníkové.</w:t>
      </w:r>
    </w:p>
    <w:p w14:paraId="156B3565" w14:textId="04CA3D89" w:rsidR="007321B0" w:rsidRDefault="007321B0" w:rsidP="000B75BC">
      <w:pPr>
        <w:rPr>
          <w:b/>
          <w:bCs/>
          <w:i/>
          <w:iCs/>
        </w:rPr>
      </w:pPr>
    </w:p>
    <w:p w14:paraId="5DA75376" w14:textId="6FE0118D" w:rsidR="007321B0" w:rsidRDefault="007321B0" w:rsidP="000B75BC">
      <w:pPr>
        <w:rPr>
          <w:b/>
          <w:bCs/>
          <w:i/>
          <w:iCs/>
        </w:rPr>
      </w:pPr>
      <w:r>
        <w:rPr>
          <w:b/>
          <w:bCs/>
          <w:i/>
          <w:iCs/>
        </w:rPr>
        <w:t>SO 04 – Vrátnica</w:t>
      </w:r>
    </w:p>
    <w:p w14:paraId="020E4464" w14:textId="06DE4050" w:rsidR="007321B0" w:rsidRDefault="007321B0" w:rsidP="007321B0">
      <w:r>
        <w:t xml:space="preserve">Jedná sa o novú vrátnicu osadenú pri výjazde z areálu. Vrátnica bude kontajnerová s vlastným hygienickým zariadením. </w:t>
      </w:r>
    </w:p>
    <w:p w14:paraId="7FA57024" w14:textId="4819EBBA" w:rsidR="00A427EB" w:rsidRDefault="00A427EB" w:rsidP="007321B0"/>
    <w:p w14:paraId="257514D1" w14:textId="77777777" w:rsidR="00E02A01" w:rsidRDefault="00E02A01" w:rsidP="007321B0"/>
    <w:p w14:paraId="2998B8F1" w14:textId="36655E4A" w:rsidR="007321B0" w:rsidRDefault="007321B0" w:rsidP="000B75BC">
      <w:pPr>
        <w:rPr>
          <w:b/>
          <w:bCs/>
          <w:i/>
          <w:iCs/>
        </w:rPr>
      </w:pPr>
      <w:r>
        <w:rPr>
          <w:b/>
          <w:bCs/>
          <w:i/>
          <w:iCs/>
        </w:rPr>
        <w:t>SO 05 – Manipulačné plochy, úprava vjazdu</w:t>
      </w:r>
    </w:p>
    <w:p w14:paraId="283E9097" w14:textId="7FAC0F92" w:rsidR="007321B0" w:rsidRDefault="007321B0" w:rsidP="000B75BC">
      <w:r>
        <w:t>Súčasťou navrhovanej zmeny je dobudovanie nového bodu vjazdu pre nákladné automobily. Súčasťou tohto stavebného objektu bude zároveň úprava manipulačných plôch pre nakladanie a vykladanie tovaru so zapustenou rampou.</w:t>
      </w:r>
    </w:p>
    <w:p w14:paraId="560D807A" w14:textId="5F06A59B" w:rsidR="006079BC" w:rsidRDefault="006079BC" w:rsidP="000B75BC"/>
    <w:p w14:paraId="1D0C0A9F" w14:textId="499B7E7F" w:rsidR="006079BC" w:rsidRPr="006079BC" w:rsidRDefault="006079BC" w:rsidP="000B75BC">
      <w:pPr>
        <w:rPr>
          <w:b/>
          <w:bCs/>
          <w:i/>
          <w:iCs/>
        </w:rPr>
      </w:pPr>
      <w:r w:rsidRPr="006079BC">
        <w:rPr>
          <w:b/>
          <w:bCs/>
          <w:i/>
          <w:iCs/>
        </w:rPr>
        <w:t xml:space="preserve">SO 06 - Kanalizácia splašková, žumpa  </w:t>
      </w:r>
    </w:p>
    <w:p w14:paraId="04C9FB48" w14:textId="5B44F65C" w:rsidR="007321B0" w:rsidRDefault="006079BC" w:rsidP="000B75BC">
      <w:r>
        <w:t>V areály spoločnosti je v súčasnosti prevádzkovaná ČOV do ktorej sú odvádzané splaškové vody z existujúcich objektov. V nových objekto</w:t>
      </w:r>
      <w:r w:rsidR="00FA5699">
        <w:t>ch</w:t>
      </w:r>
      <w:r>
        <w:t xml:space="preserve"> sú taktiež navrhnuté hygienické zariadenia</w:t>
      </w:r>
      <w:r w:rsidR="00FA5699">
        <w:t xml:space="preserve"> a to</w:t>
      </w:r>
      <w:r>
        <w:t xml:space="preserve"> v objektoch vrátnice a </w:t>
      </w:r>
      <w:proofErr w:type="spellStart"/>
      <w:r>
        <w:t>vstavku</w:t>
      </w:r>
      <w:proofErr w:type="spellEnd"/>
      <w:r>
        <w:t xml:space="preserve"> novej haly. Tieto hygienické zariadenia sú navrhované s odvedeným splaškových vôd do žumpy.</w:t>
      </w:r>
    </w:p>
    <w:p w14:paraId="140E9062" w14:textId="2CCD7B00" w:rsidR="006079BC" w:rsidRDefault="006079BC" w:rsidP="000B75BC"/>
    <w:p w14:paraId="7AA30F43" w14:textId="77777777" w:rsidR="00FA5699" w:rsidRPr="00FA5699" w:rsidRDefault="00FA5699" w:rsidP="00FA5699">
      <w:pPr>
        <w:rPr>
          <w:b/>
          <w:bCs/>
          <w:i/>
          <w:iCs/>
        </w:rPr>
      </w:pPr>
      <w:r w:rsidRPr="00FA5699">
        <w:rPr>
          <w:b/>
          <w:bCs/>
          <w:i/>
          <w:iCs/>
        </w:rPr>
        <w:t xml:space="preserve">SO 07 – Dažďová kanalizácia, </w:t>
      </w:r>
      <w:proofErr w:type="spellStart"/>
      <w:r w:rsidRPr="00FA5699">
        <w:rPr>
          <w:b/>
          <w:bCs/>
          <w:i/>
          <w:iCs/>
        </w:rPr>
        <w:t>vsak</w:t>
      </w:r>
      <w:proofErr w:type="spellEnd"/>
      <w:r w:rsidRPr="00FA5699">
        <w:rPr>
          <w:b/>
          <w:bCs/>
          <w:i/>
          <w:iCs/>
        </w:rPr>
        <w:t>, ORL</w:t>
      </w:r>
    </w:p>
    <w:p w14:paraId="61F477C1" w14:textId="4B5D7456" w:rsidR="00FA5699" w:rsidRDefault="00FA5699" w:rsidP="000B75BC">
      <w:r>
        <w:t xml:space="preserve">Stavebný objekt rieši odvedenie dažďových vôd zo striech nových objektov a z parkovísk. Dažďové vody zo striech budú odvádzané do </w:t>
      </w:r>
      <w:proofErr w:type="spellStart"/>
      <w:r>
        <w:t>vsaku</w:t>
      </w:r>
      <w:proofErr w:type="spellEnd"/>
      <w:r>
        <w:t xml:space="preserve">, pričom dažďové vody z parkovísk budú prečistené v ORL a následne taktiež odvedené do </w:t>
      </w:r>
      <w:proofErr w:type="spellStart"/>
      <w:r>
        <w:t>vsaku</w:t>
      </w:r>
      <w:proofErr w:type="spellEnd"/>
      <w:r>
        <w:t>.</w:t>
      </w:r>
    </w:p>
    <w:p w14:paraId="198AE4EB" w14:textId="162E0D6B" w:rsidR="00FA5699" w:rsidRDefault="00FA5699" w:rsidP="000B75BC"/>
    <w:p w14:paraId="543C7420" w14:textId="77777777" w:rsidR="00FA5699" w:rsidRPr="00FA5699" w:rsidRDefault="00FA5699" w:rsidP="00FA5699">
      <w:pPr>
        <w:rPr>
          <w:b/>
          <w:bCs/>
          <w:i/>
          <w:iCs/>
        </w:rPr>
      </w:pPr>
      <w:r w:rsidRPr="00FA5699">
        <w:rPr>
          <w:b/>
          <w:bCs/>
          <w:i/>
          <w:iCs/>
        </w:rPr>
        <w:t>SO 08 – Požiarny vodovod, požiarna nádrž, ATS</w:t>
      </w:r>
    </w:p>
    <w:p w14:paraId="7FC56EE6" w14:textId="7E317B8B" w:rsidR="00FA5699" w:rsidRDefault="00C970A3" w:rsidP="000B75BC">
      <w:r>
        <w:t>Vzhľadom na vybudovanie nových stavebných objektov dôjde k zvýšeniu nárokov na potrebu hasiacej vody v prípade požiaru. Stavebný objekt SO 08 rieši vybudovanie požiarnej nádrže s ATS stanicou a novým rozvodom požiarnej vody, aby boli zabezpečené legislatívne nároky.</w:t>
      </w:r>
    </w:p>
    <w:p w14:paraId="4F951B44" w14:textId="100FD826" w:rsidR="00FA5699" w:rsidRDefault="00FA5699" w:rsidP="000B75BC"/>
    <w:p w14:paraId="25254861" w14:textId="77777777" w:rsidR="00C970A3" w:rsidRPr="00C970A3" w:rsidRDefault="00C970A3" w:rsidP="00C970A3">
      <w:pPr>
        <w:rPr>
          <w:b/>
          <w:bCs/>
          <w:i/>
          <w:iCs/>
        </w:rPr>
      </w:pPr>
      <w:r w:rsidRPr="00C970A3">
        <w:rPr>
          <w:b/>
          <w:bCs/>
          <w:i/>
          <w:iCs/>
        </w:rPr>
        <w:t>SO 09 – Oplotenie, brána</w:t>
      </w:r>
    </w:p>
    <w:p w14:paraId="4AE3EDC4" w14:textId="2102A99C" w:rsidR="00C970A3" w:rsidRDefault="00C970A3" w:rsidP="000B75BC">
      <w:r>
        <w:t>Tento stavebný objekt obsahuje doplnenie a nevyhnutné zmeny v oplotení areálu ktoré sú vyvolané osadením novej brány určenej na výjazd z</w:t>
      </w:r>
      <w:r w:rsidR="00113A12">
        <w:t> </w:t>
      </w:r>
      <w:r>
        <w:t>areálu</w:t>
      </w:r>
      <w:r w:rsidR="00113A12">
        <w:t xml:space="preserve"> a z iných dôvodov.</w:t>
      </w:r>
      <w:r>
        <w:t xml:space="preserve"> </w:t>
      </w:r>
    </w:p>
    <w:p w14:paraId="5252AB35" w14:textId="59C1CB40" w:rsidR="00FA5699" w:rsidRDefault="00FA5699" w:rsidP="000B75BC"/>
    <w:p w14:paraId="4AF01267" w14:textId="5F28B21E" w:rsidR="00C970A3" w:rsidRDefault="00C970A3" w:rsidP="00C970A3">
      <w:pPr>
        <w:rPr>
          <w:b/>
          <w:bCs/>
          <w:i/>
          <w:iCs/>
        </w:rPr>
      </w:pPr>
      <w:r w:rsidRPr="00C970A3">
        <w:rPr>
          <w:b/>
          <w:bCs/>
          <w:i/>
          <w:iCs/>
        </w:rPr>
        <w:t>SO 10 – Vonkajšie osvetlenie</w:t>
      </w:r>
    </w:p>
    <w:p w14:paraId="3746152C" w14:textId="6DF9BE33" w:rsidR="00C970A3" w:rsidRDefault="00C970A3" w:rsidP="00C970A3">
      <w:pPr>
        <w:rPr>
          <w:b/>
          <w:bCs/>
          <w:i/>
          <w:iCs/>
        </w:rPr>
      </w:pPr>
      <w:r w:rsidRPr="00C970A3">
        <w:t>Stavebný objekt rieši vonkajšie osvetlenie areálu</w:t>
      </w:r>
      <w:r w:rsidR="00113A12">
        <w:t xml:space="preserve">, ktoré je nevyhnutné z dôvodu bezpečnosti pri práci v zmenách. </w:t>
      </w:r>
    </w:p>
    <w:p w14:paraId="74F5F86E" w14:textId="77777777" w:rsidR="00C970A3" w:rsidRPr="00C970A3" w:rsidRDefault="00C970A3" w:rsidP="00C970A3">
      <w:pPr>
        <w:rPr>
          <w:b/>
          <w:bCs/>
          <w:i/>
          <w:iCs/>
        </w:rPr>
      </w:pPr>
    </w:p>
    <w:p w14:paraId="76FED5A7" w14:textId="77777777" w:rsidR="00C970A3" w:rsidRPr="00C970A3" w:rsidRDefault="00C970A3" w:rsidP="00C970A3">
      <w:pPr>
        <w:rPr>
          <w:b/>
          <w:bCs/>
          <w:i/>
          <w:iCs/>
        </w:rPr>
      </w:pPr>
      <w:r w:rsidRPr="00C970A3">
        <w:rPr>
          <w:b/>
          <w:bCs/>
          <w:i/>
          <w:iCs/>
        </w:rPr>
        <w:t>SO 11 – Trafostanica – rozšírenie</w:t>
      </w:r>
    </w:p>
    <w:p w14:paraId="7A9F4391" w14:textId="23FE4DC2" w:rsidR="00C970A3" w:rsidRDefault="00C970A3" w:rsidP="000B75BC">
      <w:proofErr w:type="spellStart"/>
      <w:r>
        <w:t>Novoinštalované</w:t>
      </w:r>
      <w:proofErr w:type="spellEnd"/>
      <w:r>
        <w:t xml:space="preserve"> technologické zariadenia spôsobia zmenu v nárokoch na odber elektrickej energie. Stavebný objekt SO 11 – trafostanica rieši rozšírenie existujúcej kapacity trafostanice spôsobom ktorý zabezpečí bezproblémový chod nových technologických zariadení.</w:t>
      </w:r>
    </w:p>
    <w:p w14:paraId="30DFB0DC" w14:textId="7DF47089" w:rsidR="00C970A3" w:rsidRDefault="00C970A3" w:rsidP="000B75BC"/>
    <w:p w14:paraId="1830D435" w14:textId="1F44F05F" w:rsidR="008F6703" w:rsidRPr="007C5303" w:rsidRDefault="006F1C72" w:rsidP="006F1C72">
      <w:pPr>
        <w:rPr>
          <w:b/>
          <w:bCs/>
          <w:i/>
          <w:iCs/>
        </w:rPr>
      </w:pPr>
      <w:r w:rsidRPr="006F1C72">
        <w:rPr>
          <w:b/>
          <w:bCs/>
          <w:i/>
          <w:iCs/>
        </w:rPr>
        <w:t>PS 01 – Výrobné zariadenia</w:t>
      </w:r>
    </w:p>
    <w:p w14:paraId="3B08D725" w14:textId="77777777" w:rsidR="00083697" w:rsidRDefault="00083697" w:rsidP="006F1C72">
      <w:pPr>
        <w:rPr>
          <w:i/>
          <w:iCs/>
          <w:u w:val="single"/>
        </w:rPr>
      </w:pPr>
    </w:p>
    <w:p w14:paraId="3856A58E" w14:textId="458C864B" w:rsidR="008F6703" w:rsidRPr="008F6703" w:rsidRDefault="008F6703" w:rsidP="006F1C72">
      <w:pPr>
        <w:rPr>
          <w:i/>
          <w:iCs/>
          <w:u w:val="single"/>
        </w:rPr>
      </w:pPr>
      <w:proofErr w:type="spellStart"/>
      <w:r w:rsidRPr="008F6703">
        <w:rPr>
          <w:i/>
          <w:iCs/>
          <w:u w:val="single"/>
        </w:rPr>
        <w:t>Vstrekolisy</w:t>
      </w:r>
      <w:proofErr w:type="spellEnd"/>
    </w:p>
    <w:p w14:paraId="6C0A4367" w14:textId="58071D5D" w:rsidR="00A414DB" w:rsidRDefault="008F6703" w:rsidP="006F1C72">
      <w:r w:rsidRPr="008F6703">
        <w:t>V</w:t>
      </w:r>
      <w:r>
        <w:t xml:space="preserve"> prístavku výrobnej haly (SO 02) budú inštalované zariadenia na výrobu plastových súčiastok automobilov – </w:t>
      </w:r>
      <w:proofErr w:type="spellStart"/>
      <w:r>
        <w:t>vstrekolis</w:t>
      </w:r>
      <w:proofErr w:type="spellEnd"/>
      <w:r>
        <w:t>. Celkovo bude inštalovaných 15 nových zariadení, pričom existujúce zariadenia zostanú naďalej v prevádzke.</w:t>
      </w:r>
    </w:p>
    <w:p w14:paraId="2581C011" w14:textId="77777777" w:rsidR="00606EB1" w:rsidRDefault="00606EB1" w:rsidP="006F1C72"/>
    <w:p w14:paraId="4FDF537A" w14:textId="69754435" w:rsidR="00113A12" w:rsidRDefault="00113A12" w:rsidP="00113A12">
      <w:pPr>
        <w:pStyle w:val="Popis"/>
        <w:keepNext/>
      </w:pPr>
      <w:r>
        <w:t xml:space="preserve">Tab. </w:t>
      </w:r>
      <w:r>
        <w:fldChar w:fldCharType="begin"/>
      </w:r>
      <w:r>
        <w:instrText xml:space="preserve"> SEQ Tab. \* ARABIC </w:instrText>
      </w:r>
      <w:r>
        <w:fldChar w:fldCharType="separate"/>
      </w:r>
      <w:r w:rsidR="00467FCC">
        <w:rPr>
          <w:noProof/>
        </w:rPr>
        <w:t>1</w:t>
      </w:r>
      <w:r>
        <w:fldChar w:fldCharType="end"/>
      </w:r>
      <w:r>
        <w:t xml:space="preserve"> – Zmena počtu technologických zariadení v prevádzke</w:t>
      </w:r>
    </w:p>
    <w:tbl>
      <w:tblPr>
        <w:tblStyle w:val="Mriekatabuky"/>
        <w:tblW w:w="0" w:type="auto"/>
        <w:tblLook w:val="04A0" w:firstRow="1" w:lastRow="0" w:firstColumn="1" w:lastColumn="0" w:noHBand="0" w:noVBand="1"/>
      </w:tblPr>
      <w:tblGrid>
        <w:gridCol w:w="2482"/>
        <w:gridCol w:w="2358"/>
        <w:gridCol w:w="2318"/>
        <w:gridCol w:w="2130"/>
      </w:tblGrid>
      <w:tr w:rsidR="008F6703" w14:paraId="1DAD261D" w14:textId="45F5BD8B" w:rsidTr="00113A12">
        <w:tc>
          <w:tcPr>
            <w:tcW w:w="2482" w:type="dxa"/>
            <w:shd w:val="clear" w:color="auto" w:fill="808080" w:themeFill="background1" w:themeFillShade="80"/>
            <w:vAlign w:val="center"/>
          </w:tcPr>
          <w:p w14:paraId="4734DFFF" w14:textId="00AD3751" w:rsidR="008F6703" w:rsidRPr="00113A12" w:rsidRDefault="008F6703" w:rsidP="00113A12">
            <w:pPr>
              <w:jc w:val="center"/>
              <w:rPr>
                <w:b/>
                <w:bCs/>
                <w:i/>
                <w:iCs/>
              </w:rPr>
            </w:pPr>
          </w:p>
        </w:tc>
        <w:tc>
          <w:tcPr>
            <w:tcW w:w="2358" w:type="dxa"/>
            <w:shd w:val="clear" w:color="auto" w:fill="808080" w:themeFill="background1" w:themeFillShade="80"/>
            <w:vAlign w:val="center"/>
          </w:tcPr>
          <w:p w14:paraId="5282265B" w14:textId="69ED593C" w:rsidR="008F6703" w:rsidRPr="00113A12" w:rsidRDefault="00113A12" w:rsidP="00113A12">
            <w:pPr>
              <w:jc w:val="center"/>
              <w:rPr>
                <w:b/>
                <w:bCs/>
                <w:i/>
                <w:iCs/>
              </w:rPr>
            </w:pPr>
            <w:r>
              <w:rPr>
                <w:b/>
                <w:bCs/>
                <w:i/>
                <w:iCs/>
              </w:rPr>
              <w:t>P</w:t>
            </w:r>
            <w:r w:rsidR="008F6703" w:rsidRPr="00113A12">
              <w:rPr>
                <w:b/>
                <w:bCs/>
                <w:i/>
                <w:iCs/>
              </w:rPr>
              <w:t>red zmenou</w:t>
            </w:r>
          </w:p>
        </w:tc>
        <w:tc>
          <w:tcPr>
            <w:tcW w:w="2318" w:type="dxa"/>
            <w:shd w:val="clear" w:color="auto" w:fill="808080" w:themeFill="background1" w:themeFillShade="80"/>
            <w:vAlign w:val="center"/>
          </w:tcPr>
          <w:p w14:paraId="66066066" w14:textId="5A16540F" w:rsidR="008F6703" w:rsidRPr="00113A12" w:rsidRDefault="008F6703" w:rsidP="00113A12">
            <w:pPr>
              <w:jc w:val="center"/>
              <w:rPr>
                <w:b/>
                <w:bCs/>
                <w:i/>
                <w:iCs/>
              </w:rPr>
            </w:pPr>
            <w:r w:rsidRPr="00113A12">
              <w:rPr>
                <w:b/>
                <w:bCs/>
                <w:i/>
                <w:iCs/>
              </w:rPr>
              <w:t>Navýšenie počtu navrhovanou zmenou</w:t>
            </w:r>
          </w:p>
        </w:tc>
        <w:tc>
          <w:tcPr>
            <w:tcW w:w="2130" w:type="dxa"/>
            <w:shd w:val="clear" w:color="auto" w:fill="808080" w:themeFill="background1" w:themeFillShade="80"/>
            <w:vAlign w:val="center"/>
          </w:tcPr>
          <w:p w14:paraId="7F7552FC" w14:textId="25D6D2C0" w:rsidR="008F6703" w:rsidRPr="00113A12" w:rsidRDefault="00113A12" w:rsidP="00113A12">
            <w:pPr>
              <w:jc w:val="center"/>
              <w:rPr>
                <w:b/>
                <w:bCs/>
                <w:i/>
                <w:iCs/>
              </w:rPr>
            </w:pPr>
            <w:r>
              <w:rPr>
                <w:b/>
                <w:bCs/>
                <w:i/>
                <w:iCs/>
              </w:rPr>
              <w:t>P</w:t>
            </w:r>
            <w:r w:rsidR="008F6703" w:rsidRPr="00113A12">
              <w:rPr>
                <w:b/>
                <w:bCs/>
                <w:i/>
                <w:iCs/>
              </w:rPr>
              <w:t>o zmene</w:t>
            </w:r>
          </w:p>
        </w:tc>
      </w:tr>
      <w:tr w:rsidR="008F6703" w14:paraId="6929363B" w14:textId="52FD976A" w:rsidTr="008F6703">
        <w:tc>
          <w:tcPr>
            <w:tcW w:w="2482" w:type="dxa"/>
          </w:tcPr>
          <w:p w14:paraId="169BE015" w14:textId="7BD0B767" w:rsidR="008F6703" w:rsidRDefault="008F6703" w:rsidP="006F1C72">
            <w:r>
              <w:t xml:space="preserve">Počet </w:t>
            </w:r>
            <w:proofErr w:type="spellStart"/>
            <w:r>
              <w:t>vstrekolisov</w:t>
            </w:r>
            <w:proofErr w:type="spellEnd"/>
          </w:p>
        </w:tc>
        <w:tc>
          <w:tcPr>
            <w:tcW w:w="2358" w:type="dxa"/>
          </w:tcPr>
          <w:p w14:paraId="74F04C49" w14:textId="04A2BF71" w:rsidR="008F6703" w:rsidRDefault="008F6703" w:rsidP="006F1C72">
            <w:r>
              <w:t>28</w:t>
            </w:r>
          </w:p>
        </w:tc>
        <w:tc>
          <w:tcPr>
            <w:tcW w:w="2318" w:type="dxa"/>
          </w:tcPr>
          <w:p w14:paraId="41AB7160" w14:textId="24579943" w:rsidR="008F6703" w:rsidRDefault="008F6703" w:rsidP="006F1C72">
            <w:r>
              <w:t>15</w:t>
            </w:r>
          </w:p>
        </w:tc>
        <w:tc>
          <w:tcPr>
            <w:tcW w:w="2130" w:type="dxa"/>
          </w:tcPr>
          <w:p w14:paraId="65A69FBD" w14:textId="42F48753" w:rsidR="008F6703" w:rsidRDefault="008F6703" w:rsidP="006F1C72">
            <w:r>
              <w:t>43</w:t>
            </w:r>
          </w:p>
        </w:tc>
      </w:tr>
    </w:tbl>
    <w:p w14:paraId="651DBFD6" w14:textId="77AC5B34" w:rsidR="008F6703" w:rsidRDefault="008F6703" w:rsidP="006F1C72"/>
    <w:p w14:paraId="4645CBBC" w14:textId="3DC8B651" w:rsidR="008F6703" w:rsidRPr="008F6703" w:rsidRDefault="008F6703" w:rsidP="008F6703">
      <w:proofErr w:type="spellStart"/>
      <w:r w:rsidRPr="008F6703">
        <w:t>Vstrekolis</w:t>
      </w:r>
      <w:proofErr w:type="spellEnd"/>
      <w:r w:rsidRPr="008F6703">
        <w:t xml:space="preserve"> pozostáva z rámu, na ktorom je uzatvárací mechanizmus foriem, hydraulický agregát tlakového oleja, dávkovacie </w:t>
      </w:r>
      <w:proofErr w:type="spellStart"/>
      <w:r w:rsidRPr="008F6703">
        <w:t>šnekové</w:t>
      </w:r>
      <w:proofErr w:type="spellEnd"/>
      <w:r w:rsidRPr="008F6703">
        <w:t xml:space="preserve"> zariadenie s ohrevom granulátu a zásobník na granulát. </w:t>
      </w:r>
    </w:p>
    <w:p w14:paraId="7EA5B9D1" w14:textId="11CB42A7" w:rsidR="008F6703" w:rsidRPr="008F6703" w:rsidRDefault="008F6703" w:rsidP="008F6703">
      <w:proofErr w:type="spellStart"/>
      <w:r w:rsidRPr="008F6703">
        <w:t>Vstrekolisy</w:t>
      </w:r>
      <w:proofErr w:type="spellEnd"/>
      <w:r w:rsidRPr="008F6703">
        <w:t xml:space="preserve"> sú vybavené vymeniteľnými formami, do ktorých sa vstrekne roztopený plastový granulát. Roztopený polymér sa vstrekuje pod vysokým tlakom to uzatvorených foriem. V dvojitej forme je tvar výrobku a kanáliky na vstreknutie roztopeného polyméru a odvedenie vzduchu z formy.  </w:t>
      </w:r>
    </w:p>
    <w:p w14:paraId="36D694EA" w14:textId="343FE1EE" w:rsidR="008F6703" w:rsidRPr="008F6703" w:rsidRDefault="008F6703" w:rsidP="008F6703">
      <w:r w:rsidRPr="008F6703">
        <w:t>Ohrev granulátu je elektricky. Polymér sa zohrieva na teplotu cca. 250 °C, ktorá je pre každý druh polyméru rozdielna. Teplota ohrevu polyméru e nastavená tesne nad bod tuhnutia materiálu. Materiál mení skupenstvo a v tekutom stave je vstreknutý do formy kde nadobudne požadovaný tvar. Teplota ohrevu nesmie prekročiť bod tavenia, kedy dochádza k rozkladu molekúl polyméru a jeho znehodnoteniu. Po vstreknutí materiálu do formy je forma ochladzovaná chladiacou vodou.</w:t>
      </w:r>
    </w:p>
    <w:p w14:paraId="7F45FE88" w14:textId="2ED81F92" w:rsidR="008F6703" w:rsidRPr="008F6703" w:rsidRDefault="008F6703" w:rsidP="008F6703">
      <w:r w:rsidRPr="008F6703">
        <w:t xml:space="preserve">Forma je </w:t>
      </w:r>
      <w:proofErr w:type="spellStart"/>
      <w:r w:rsidRPr="008F6703">
        <w:t>predohrievaná</w:t>
      </w:r>
      <w:proofErr w:type="spellEnd"/>
      <w:r w:rsidRPr="008F6703">
        <w:t xml:space="preserve"> </w:t>
      </w:r>
      <w:proofErr w:type="spellStart"/>
      <w:r w:rsidRPr="008F6703">
        <w:t>temperovacími</w:t>
      </w:r>
      <w:proofErr w:type="spellEnd"/>
      <w:r w:rsidRPr="008F6703">
        <w:t xml:space="preserve"> zariadeniami na teplotu 80-90 °C.</w:t>
      </w:r>
      <w:r>
        <w:t xml:space="preserve"> </w:t>
      </w:r>
      <w:r w:rsidRPr="008F6703">
        <w:t xml:space="preserve">Otváranie a uzatváranie foriem je hydraulickými systémami. Tlak v rozvodoch hydraulického oleja je cca. 180-275 bar. Náplň oleja je okolo 200-500 dm3. Temperovanie foriem bude elektrickými </w:t>
      </w:r>
      <w:proofErr w:type="spellStart"/>
      <w:r w:rsidRPr="008F6703">
        <w:t>temperovacími</w:t>
      </w:r>
      <w:proofErr w:type="spellEnd"/>
      <w:r w:rsidRPr="008F6703">
        <w:t xml:space="preserve"> zariadeniami. Chladenie foriem po vstreku polyméru bude chladiacou vodou z centrálneho systému chladenia strojov.</w:t>
      </w:r>
    </w:p>
    <w:p w14:paraId="3B42B672" w14:textId="13D6B485" w:rsidR="008F6703" w:rsidRPr="008F6703" w:rsidRDefault="008F6703" w:rsidP="008F6703">
      <w:r w:rsidRPr="008F6703">
        <w:t xml:space="preserve">Po vychladnutí vo forme dielce budú vyberané z formy prostredníctvom manipulátora a ukladané na pásový dopravník na vychladnutie. Z dopravníka budú ručne odoberané, vizuálne kontrolované a ukladané do palety. Priestor pohybu manipulátora, pásového dopravníka, kde by mohlo prísť k zásahu pracovníka pohybujúcimi sa časťami je oplotený. V oplotení je bránka pre vstup do pracovného priestoru. Bránka je vybavená blokovaním. </w:t>
      </w:r>
    </w:p>
    <w:p w14:paraId="095E03D1" w14:textId="77777777" w:rsidR="008F6703" w:rsidRPr="008F6703" w:rsidRDefault="008F6703" w:rsidP="008F6703">
      <w:r w:rsidRPr="008F6703">
        <w:t>Stroje a zariadenia sú vybavené STOP-</w:t>
      </w:r>
      <w:proofErr w:type="spellStart"/>
      <w:r w:rsidRPr="008F6703">
        <w:t>tlačítkami</w:t>
      </w:r>
      <w:proofErr w:type="spellEnd"/>
      <w:r w:rsidRPr="008F6703">
        <w:t xml:space="preserve">, blokovaním otvárania krytov, priestorovými snímačmi pohybu, optickými clonami. </w:t>
      </w:r>
    </w:p>
    <w:p w14:paraId="76C51894" w14:textId="5D39F772" w:rsidR="008F6703" w:rsidRPr="008F6703" w:rsidRDefault="008F6703" w:rsidP="008F6703">
      <w:r w:rsidRPr="008F6703">
        <w:t xml:space="preserve">Pre manipuláciu s formami </w:t>
      </w:r>
      <w:proofErr w:type="spellStart"/>
      <w:r w:rsidRPr="008F6703">
        <w:t>vstrekolisov</w:t>
      </w:r>
      <w:proofErr w:type="spellEnd"/>
      <w:r w:rsidRPr="008F6703">
        <w:t xml:space="preserve"> a podskupinami agregátov </w:t>
      </w:r>
      <w:proofErr w:type="spellStart"/>
      <w:r w:rsidRPr="008F6703">
        <w:t>vstrekolisov</w:t>
      </w:r>
      <w:proofErr w:type="spellEnd"/>
      <w:r w:rsidRPr="008F6703">
        <w:t xml:space="preserve"> pri údržbe a výmene je v celom priestore lisovne plastov inštalovaný mostový žeriav s nosnosťou 16,0 tony a rozpätím 19 900 mm. Žeriav má zdvih min. 8 080 mm. Ovládanie žeriava bude diaľkové s </w:t>
      </w:r>
      <w:proofErr w:type="spellStart"/>
      <w:r w:rsidRPr="008F6703">
        <w:t>mikrozdvihom</w:t>
      </w:r>
      <w:proofErr w:type="spellEnd"/>
      <w:r w:rsidRPr="008F6703">
        <w:t xml:space="preserve"> pre jemnú manipuláciu pri inštalácii foriem. Údržba a opravy žeriava budú vykonávané z mobilnej plošiny.</w:t>
      </w:r>
    </w:p>
    <w:p w14:paraId="5861CC65" w14:textId="5844A9FB" w:rsidR="008F6703" w:rsidRPr="008F6703" w:rsidRDefault="008F6703" w:rsidP="008F6703">
      <w:r w:rsidRPr="008F6703">
        <w:t xml:space="preserve">Formy po ukončení činnosti na </w:t>
      </w:r>
      <w:proofErr w:type="spellStart"/>
      <w:r w:rsidRPr="008F6703">
        <w:t>vstrekolisoch</w:t>
      </w:r>
      <w:proofErr w:type="spellEnd"/>
      <w:r w:rsidRPr="008F6703">
        <w:t xml:space="preserve"> budú mostovým žeriavom dopravené na pracovisko údržby foriem. Každá forma bude skontrolovaná, vyčistená a zakonzervovaná. Používané prípravky na čistenie a konzervovanie majú nízky podiel látok s VOC alebo ich vôbec neobsahujú.</w:t>
      </w:r>
    </w:p>
    <w:p w14:paraId="6A4988DC" w14:textId="1F8F51DF" w:rsidR="008F6703" w:rsidRDefault="008F6703" w:rsidP="008F6703">
      <w:r w:rsidRPr="008F6703">
        <w:t>Pracoviská údržby foriem sú vybavené stolmi, skriňami a policovým regálmi na uloženie pomocného materiálu. Rozvody energií napájajú zásuvky elektro 230V a 3x400V 16 A </w:t>
      </w:r>
      <w:proofErr w:type="spellStart"/>
      <w:r w:rsidRPr="008F6703">
        <w:t>a</w:t>
      </w:r>
      <w:proofErr w:type="spellEnd"/>
      <w:r w:rsidRPr="008F6703">
        <w:t> ukončenia rozvodov stlačeného vzduchu. Doprava foriem na pracoviská je mostovým žeriavom. Priestor pracovísk je oplotený, vstup je cez dvojkrídlovú bránku.</w:t>
      </w:r>
      <w:r>
        <w:t xml:space="preserve"> </w:t>
      </w:r>
      <w:r w:rsidRPr="008F6703">
        <w:t>Po ošetrení budú formy uložené vo výškovom regálovom  sklade.</w:t>
      </w:r>
    </w:p>
    <w:p w14:paraId="5C4A620B" w14:textId="1006E814" w:rsidR="008F6703" w:rsidRDefault="008F6703" w:rsidP="008F6703"/>
    <w:p w14:paraId="74020A19" w14:textId="1FFC7973" w:rsidR="008F6703" w:rsidRDefault="008F6703" w:rsidP="008F6703">
      <w:pPr>
        <w:rPr>
          <w:i/>
          <w:iCs/>
          <w:u w:val="single"/>
        </w:rPr>
      </w:pPr>
      <w:r w:rsidRPr="00445BA6">
        <w:rPr>
          <w:i/>
          <w:iCs/>
          <w:u w:val="single"/>
        </w:rPr>
        <w:t>M</w:t>
      </w:r>
      <w:r w:rsidR="00445BA6" w:rsidRPr="00445BA6">
        <w:rPr>
          <w:i/>
          <w:iCs/>
          <w:u w:val="single"/>
        </w:rPr>
        <w:t xml:space="preserve">ontážne </w:t>
      </w:r>
      <w:r w:rsidRPr="00445BA6">
        <w:rPr>
          <w:i/>
          <w:iCs/>
          <w:u w:val="single"/>
        </w:rPr>
        <w:t>pracoviská</w:t>
      </w:r>
    </w:p>
    <w:p w14:paraId="7C07A22E" w14:textId="162B8B65" w:rsidR="00445BA6" w:rsidRPr="00E02A01" w:rsidRDefault="00445BA6" w:rsidP="00E02A01">
      <w:r>
        <w:t xml:space="preserve">V navrhovanom objekte prístavku výrobnej haly budú taktiež situovaných 6 montážnych pracovísk. </w:t>
      </w:r>
      <w:r w:rsidRPr="00E02A01">
        <w:t xml:space="preserve">Na ručných montážnych pracoviskách sa vykonáva montáž podskupín </w:t>
      </w:r>
      <w:r w:rsidRPr="00E02A01">
        <w:lastRenderedPageBreak/>
        <w:t>z produkovaných výliskov a nakupovaných dielov. Nakupované diely sú napr. kovové dielce, skrutky, podložky, pružiny, tesnenia a pod.  Montážne linky pozostávajú z montážnych buniek vybavených jednoduchými zariadeniami – lisovacie jednotky s použitím ručného náradia a podobne. Každá pracovná bunka je vybavená vlastným osvetlením. Pracoviská montáží budú napájané cez zásuvky a ukončenia rozvodu stlačeného vzduchu.</w:t>
      </w:r>
    </w:p>
    <w:p w14:paraId="4BE5B506" w14:textId="77777777" w:rsidR="00445BA6" w:rsidRPr="00E02A01" w:rsidRDefault="00445BA6" w:rsidP="00E02A01">
      <w:r w:rsidRPr="00E02A01">
        <w:t xml:space="preserve">Jednotlivé pracovné stanice sú vybavené </w:t>
      </w:r>
      <w:proofErr w:type="spellStart"/>
      <w:r w:rsidRPr="00E02A01">
        <w:t>dvojtlačítkami</w:t>
      </w:r>
      <w:proofErr w:type="spellEnd"/>
      <w:r w:rsidRPr="00E02A01">
        <w:t xml:space="preserve"> v prípade lisovacích jednotiek, STOP-</w:t>
      </w:r>
      <w:proofErr w:type="spellStart"/>
      <w:r w:rsidRPr="00E02A01">
        <w:t>tlačítkami</w:t>
      </w:r>
      <w:proofErr w:type="spellEnd"/>
      <w:r w:rsidRPr="00E02A01">
        <w:t xml:space="preserve">, optickými clonami. </w:t>
      </w:r>
    </w:p>
    <w:p w14:paraId="33CBF7F6" w14:textId="465E79D3" w:rsidR="00445BA6" w:rsidRPr="00445BA6" w:rsidRDefault="00445BA6" w:rsidP="008F6703"/>
    <w:p w14:paraId="39A5FB9E" w14:textId="77777777" w:rsidR="00445BA6" w:rsidRDefault="006F1C72" w:rsidP="00445BA6">
      <w:pPr>
        <w:tabs>
          <w:tab w:val="center" w:pos="4536"/>
        </w:tabs>
        <w:rPr>
          <w:b/>
          <w:bCs/>
          <w:i/>
          <w:iCs/>
        </w:rPr>
      </w:pPr>
      <w:r w:rsidRPr="006F1C72">
        <w:rPr>
          <w:b/>
          <w:bCs/>
          <w:i/>
          <w:iCs/>
        </w:rPr>
        <w:t>PS 02 – Prevádzkový rozvod silnoprúdu</w:t>
      </w:r>
    </w:p>
    <w:p w14:paraId="304ACFFC" w14:textId="0539D1A0" w:rsidR="006F1C72" w:rsidRDefault="00445BA6" w:rsidP="00445BA6">
      <w:r>
        <w:t>Tento prevádzkový súbor rieši nevyhnutné silnoprúdové rozvody potrebné na chod technologických zariadení. Elektrická energia potrebná na technologické účely bude dodávaná zo siete cez trafostanicu ktorej rozšírenie je predmetom SO 11 – Trafostanica – rozšírenie.</w:t>
      </w:r>
    </w:p>
    <w:p w14:paraId="52B07933" w14:textId="77777777" w:rsidR="00445BA6" w:rsidRPr="00445BA6" w:rsidRDefault="00445BA6" w:rsidP="00445BA6"/>
    <w:p w14:paraId="4119B93C" w14:textId="572675C3" w:rsidR="006F1C72" w:rsidRDefault="006F1C72" w:rsidP="006F1C72">
      <w:pPr>
        <w:rPr>
          <w:b/>
          <w:bCs/>
          <w:i/>
          <w:iCs/>
        </w:rPr>
      </w:pPr>
      <w:r w:rsidRPr="006F1C72">
        <w:rPr>
          <w:b/>
          <w:bCs/>
          <w:i/>
          <w:iCs/>
        </w:rPr>
        <w:t xml:space="preserve">PS 03 – Prevádzkové potrubie (stlačený vzduch, </w:t>
      </w:r>
      <w:proofErr w:type="spellStart"/>
      <w:r w:rsidRPr="006F1C72">
        <w:rPr>
          <w:b/>
          <w:bCs/>
          <w:i/>
          <w:iCs/>
        </w:rPr>
        <w:t>kompresorovňa</w:t>
      </w:r>
      <w:proofErr w:type="spellEnd"/>
      <w:r w:rsidRPr="006F1C72">
        <w:rPr>
          <w:b/>
          <w:bCs/>
          <w:i/>
          <w:iCs/>
        </w:rPr>
        <w:t>)</w:t>
      </w:r>
    </w:p>
    <w:p w14:paraId="7980AAAE" w14:textId="245252A9" w:rsidR="00445BA6" w:rsidRPr="00445BA6" w:rsidRDefault="00445BA6" w:rsidP="006F1C72">
      <w:r w:rsidRPr="00445BA6">
        <w:t xml:space="preserve">Prevádzkový súbor PS 03 rieši nevyhnutné rozvody stlačeného vzduchu ktoré sú potrebné pre chod technológie. </w:t>
      </w:r>
    </w:p>
    <w:p w14:paraId="4A7C6861" w14:textId="77777777" w:rsidR="00445BA6" w:rsidRPr="006F1C72" w:rsidRDefault="00445BA6" w:rsidP="006F1C72">
      <w:pPr>
        <w:rPr>
          <w:b/>
          <w:bCs/>
          <w:i/>
          <w:iCs/>
        </w:rPr>
      </w:pPr>
    </w:p>
    <w:p w14:paraId="12E3FF9A" w14:textId="21BD247C" w:rsidR="006F1C72" w:rsidRDefault="006F1C72" w:rsidP="006F1C72">
      <w:pPr>
        <w:rPr>
          <w:b/>
          <w:bCs/>
          <w:i/>
          <w:iCs/>
        </w:rPr>
      </w:pPr>
      <w:r w:rsidRPr="006F1C72">
        <w:rPr>
          <w:b/>
          <w:bCs/>
          <w:i/>
          <w:iCs/>
        </w:rPr>
        <w:t>PS 04 – Prevádzkové potrubie (chladiaca voda)</w:t>
      </w:r>
    </w:p>
    <w:p w14:paraId="594A7FC6" w14:textId="23F90C1C" w:rsidR="00445BA6" w:rsidRDefault="00445BA6" w:rsidP="006F1C72">
      <w:r>
        <w:t>Pre chod technologických zariadení je nevyhnutne potrebná chladiaca voda ktorá je zabezpečená pomocou centrálneho systému chladenia strojov. Prevádzkový súbor PS 04 rieši rozvody chladiacej vody k inštalovaným zariadeniam.</w:t>
      </w:r>
    </w:p>
    <w:p w14:paraId="702D7B51" w14:textId="75870EAA" w:rsidR="00445BA6" w:rsidRPr="00445BA6" w:rsidRDefault="00445BA6" w:rsidP="006F1C72">
      <w:r>
        <w:t xml:space="preserve"> </w:t>
      </w:r>
    </w:p>
    <w:p w14:paraId="4FD17164" w14:textId="210C792D" w:rsidR="006F1C72" w:rsidRDefault="006F1C72" w:rsidP="006F1C72">
      <w:pPr>
        <w:rPr>
          <w:b/>
          <w:bCs/>
          <w:i/>
          <w:iCs/>
        </w:rPr>
      </w:pPr>
      <w:r w:rsidRPr="006F1C72">
        <w:rPr>
          <w:b/>
          <w:bCs/>
          <w:i/>
          <w:iCs/>
        </w:rPr>
        <w:t>PS 05 – Silá, pneumatická doprava materiálu</w:t>
      </w:r>
    </w:p>
    <w:p w14:paraId="76917BBA" w14:textId="77777777" w:rsidR="00113A12" w:rsidRDefault="00113A12" w:rsidP="006F1C72">
      <w:pPr>
        <w:rPr>
          <w:b/>
          <w:bCs/>
          <w:i/>
          <w:iCs/>
        </w:rPr>
      </w:pPr>
    </w:p>
    <w:p w14:paraId="51D9B1AA" w14:textId="77777777" w:rsidR="00445BA6" w:rsidRPr="00445BA6" w:rsidRDefault="00445BA6" w:rsidP="00445BA6">
      <w:pPr>
        <w:rPr>
          <w:i/>
          <w:iCs/>
          <w:u w:val="single"/>
        </w:rPr>
      </w:pPr>
      <w:r w:rsidRPr="00445BA6">
        <w:rPr>
          <w:i/>
          <w:iCs/>
          <w:u w:val="single"/>
        </w:rPr>
        <w:t>Sušenie a potrubná doprava granulátu</w:t>
      </w:r>
    </w:p>
    <w:p w14:paraId="2A064684" w14:textId="2C8B2E36" w:rsidR="00445BA6" w:rsidRPr="00F92C4D" w:rsidRDefault="00445BA6" w:rsidP="00F92C4D">
      <w:r w:rsidRPr="00F92C4D">
        <w:t>Pre skladovanie granulátu sa budú využívať nové 2 silá s celkovým objemom 58 m3 a využiteľným objemom 54 m3. Maximálne skladované množstvo granulátu vo všetkých silách 80,0 ton.</w:t>
      </w:r>
    </w:p>
    <w:p w14:paraId="338D78A9" w14:textId="6025FDEC" w:rsidR="00445BA6" w:rsidRPr="00F92C4D" w:rsidRDefault="00445BA6" w:rsidP="00F92C4D">
      <w:r w:rsidRPr="00F92C4D">
        <w:t>Granulát je následne dopravovaný do výrobnej haly, na plošinu, kde sú umiestnené sušiace zariadenia.</w:t>
      </w:r>
    </w:p>
    <w:p w14:paraId="555AB26D" w14:textId="18D9EF65" w:rsidR="00445BA6" w:rsidRPr="00F92C4D" w:rsidRDefault="00445BA6" w:rsidP="00F92C4D">
      <w:r w:rsidRPr="00F92C4D">
        <w:t>Pre</w:t>
      </w:r>
      <w:r w:rsidR="00F92C4D" w:rsidRPr="00F92C4D">
        <w:t>d</w:t>
      </w:r>
      <w:r w:rsidRPr="00F92C4D">
        <w:t xml:space="preserve"> použitím vo </w:t>
      </w:r>
      <w:proofErr w:type="spellStart"/>
      <w:r w:rsidRPr="00F92C4D">
        <w:t>vstrekolisoch</w:t>
      </w:r>
      <w:proofErr w:type="spellEnd"/>
      <w:r w:rsidRPr="00F92C4D">
        <w:t xml:space="preserve"> granulát je sušený v sušiacich zariadeniach. Sušiace zariadenia sú umiestnené na technologickej plošine, rovnako ako zariadenia sušenia a dopravy granulátu (vákuové pumpy, rozdeľovacia jednotka. Doprava granulátu do sušiaceho zariadenia je automatická potrubným rozvodom. Sušenie prebieha pri teplote 80-120°C po dobu 4-8 hod. Cez zásobník je preháňaný ohriaty vzduch. Z </w:t>
      </w:r>
      <w:proofErr w:type="spellStart"/>
      <w:r w:rsidRPr="00F92C4D">
        <w:t>temperovacích</w:t>
      </w:r>
      <w:proofErr w:type="spellEnd"/>
      <w:r w:rsidRPr="00F92C4D">
        <w:t xml:space="preserve"> zariadení je granulát dopravovaný k </w:t>
      </w:r>
      <w:proofErr w:type="spellStart"/>
      <w:r w:rsidRPr="00F92C4D">
        <w:t>vstrekolisom</w:t>
      </w:r>
      <w:proofErr w:type="spellEnd"/>
      <w:r w:rsidRPr="00F92C4D">
        <w:t xml:space="preserve"> automaticky potrubným rozvodom cez prepínaciu stanicu, ktorá spája požadovaný </w:t>
      </w:r>
      <w:proofErr w:type="spellStart"/>
      <w:r w:rsidRPr="00F92C4D">
        <w:t>vstrekolis</w:t>
      </w:r>
      <w:proofErr w:type="spellEnd"/>
      <w:r w:rsidRPr="00F92C4D">
        <w:t xml:space="preserve"> s daným sušiacim zariadením. Cez potrubný rozvod sa granulát dodáva do zásobníka </w:t>
      </w:r>
      <w:proofErr w:type="spellStart"/>
      <w:r w:rsidRPr="00F92C4D">
        <w:t>vstrekolisu</w:t>
      </w:r>
      <w:proofErr w:type="spellEnd"/>
      <w:r w:rsidRPr="00F92C4D">
        <w:t>. Doprava granulátu je zabezpečená trojicou vákuových púmp a potrubným rozvodom vákua. Pred vákuovými pumpami sú nainštalované filtre.</w:t>
      </w:r>
    </w:p>
    <w:p w14:paraId="137BE0EF" w14:textId="5EFAB751" w:rsidR="00445BA6" w:rsidRPr="00F92C4D" w:rsidRDefault="00445BA6" w:rsidP="00F92C4D">
      <w:r w:rsidRPr="00F92C4D">
        <w:t xml:space="preserve">Pre rozvody granulátu budú použité nerezové rúry priemeru Ø60 mm s hrúbkou steny 1,5 mm. Rúry budú uložené na pomocnej konštrukcii uchytenej </w:t>
      </w:r>
      <w:proofErr w:type="spellStart"/>
      <w:r w:rsidRPr="00F92C4D">
        <w:t>ne</w:t>
      </w:r>
      <w:proofErr w:type="spellEnd"/>
      <w:r w:rsidRPr="00F92C4D">
        <w:t xml:space="preserve"> stĺpoch haly vo výške min. 4500 mm.</w:t>
      </w:r>
    </w:p>
    <w:p w14:paraId="1270E26E" w14:textId="7BA40903" w:rsidR="00445BA6" w:rsidRPr="00F92C4D" w:rsidRDefault="00445BA6" w:rsidP="00F92C4D">
      <w:r w:rsidRPr="00F92C4D">
        <w:t>Zariadenia na dopravu a sušenie granulátu budú umiestnené na technologickej plošine. Zariadenia budú uložené voľne bez kotvenia. Potrubné rozvody granulátu sú vedené pod stropom plošiny.</w:t>
      </w:r>
    </w:p>
    <w:p w14:paraId="3A974F11" w14:textId="31B158AF" w:rsidR="00445BA6" w:rsidRPr="00F92C4D" w:rsidRDefault="00445BA6" w:rsidP="00F92C4D">
      <w:r w:rsidRPr="00F92C4D">
        <w:lastRenderedPageBreak/>
        <w:t>Na plošine je umiestnený elektro rozvádzač určený na napájanie technologických zariadení (sušiace zariadenia granulátu, vákuové pumpy) a osvetlenia priestoru pod plošinou. Výkon privedený do elektrorozvádzača je 200 kW.</w:t>
      </w:r>
    </w:p>
    <w:p w14:paraId="4AA45585" w14:textId="77777777" w:rsidR="00113A12" w:rsidRDefault="00113A12" w:rsidP="009D37E9">
      <w:pPr>
        <w:rPr>
          <w:rFonts w:cs="Arial"/>
          <w:szCs w:val="22"/>
        </w:rPr>
      </w:pPr>
    </w:p>
    <w:p w14:paraId="59C10409" w14:textId="20D947CD" w:rsidR="00445BA6" w:rsidRPr="009D37E9" w:rsidRDefault="00445BA6" w:rsidP="009D37E9">
      <w:pPr>
        <w:rPr>
          <w:i/>
          <w:iCs/>
          <w:u w:val="single"/>
        </w:rPr>
      </w:pPr>
      <w:r w:rsidRPr="009D37E9">
        <w:rPr>
          <w:i/>
          <w:iCs/>
          <w:u w:val="single"/>
        </w:rPr>
        <w:t>Laboratórium technickej kontroly</w:t>
      </w:r>
    </w:p>
    <w:p w14:paraId="5CC4A456" w14:textId="7E0F72BB" w:rsidR="00445BA6" w:rsidRPr="00120D01" w:rsidRDefault="00445BA6" w:rsidP="00445BA6">
      <w:pPr>
        <w:spacing w:before="120"/>
        <w:rPr>
          <w:rFonts w:cs="Arial"/>
        </w:rPr>
      </w:pPr>
      <w:r w:rsidRPr="00120D01">
        <w:rPr>
          <w:rFonts w:cs="Arial"/>
        </w:rPr>
        <w:t>Mechanické vlastnosti používaných materiálov budú kontrolované v priestore laboratória technickej kontroly. Budú tu umiestnené 3-D merací stroj, meracie zariadenia prevažne na pracovných stoloch. Bude sa vykonávať analýza vlastností ako tvrdosť, pevnosť v ťahu, pružnosť, tvarová stálosť, odolnosť pri zmenách teploty (chlad, mráz, vysoké teploty) a pod. Miestnosť bude vybavená klimatizáciou.</w:t>
      </w:r>
    </w:p>
    <w:p w14:paraId="5C05494B" w14:textId="77777777" w:rsidR="00445BA6" w:rsidRPr="006F1C72" w:rsidRDefault="00445BA6" w:rsidP="006F1C72">
      <w:pPr>
        <w:rPr>
          <w:b/>
          <w:bCs/>
          <w:i/>
          <w:iCs/>
        </w:rPr>
      </w:pPr>
    </w:p>
    <w:p w14:paraId="2FBE9A14" w14:textId="0EA0F520" w:rsidR="00F50BFC" w:rsidRPr="000C105F" w:rsidRDefault="00F50BFC" w:rsidP="000B75BC">
      <w:pPr>
        <w:rPr>
          <w:b/>
          <w:i/>
          <w:iCs/>
          <w:u w:val="single"/>
        </w:rPr>
      </w:pPr>
      <w:r w:rsidRPr="000C105F">
        <w:rPr>
          <w:b/>
          <w:i/>
          <w:iCs/>
          <w:u w:val="single"/>
        </w:rPr>
        <w:t>Požiadavky na vstup</w:t>
      </w:r>
      <w:r w:rsidR="000C105F" w:rsidRPr="000C105F">
        <w:rPr>
          <w:b/>
          <w:i/>
          <w:iCs/>
          <w:u w:val="single"/>
        </w:rPr>
        <w:t>y</w:t>
      </w:r>
    </w:p>
    <w:p w14:paraId="03E6B5C8" w14:textId="4FE88EB6" w:rsidR="00F50BFC" w:rsidRPr="000C105F" w:rsidRDefault="00F50BFC" w:rsidP="000B75BC">
      <w:pPr>
        <w:rPr>
          <w:b/>
        </w:rPr>
      </w:pPr>
    </w:p>
    <w:p w14:paraId="40F8D74E" w14:textId="58FA9CA9" w:rsidR="007A27E0" w:rsidRDefault="000C105F" w:rsidP="000B75BC">
      <w:pPr>
        <w:rPr>
          <w:b/>
        </w:rPr>
      </w:pPr>
      <w:r w:rsidRPr="000C105F">
        <w:rPr>
          <w:b/>
        </w:rPr>
        <w:t>Záber pôdy</w:t>
      </w:r>
    </w:p>
    <w:p w14:paraId="6A7E2E5A" w14:textId="7B7A3513" w:rsidR="00A427EB" w:rsidRDefault="00A427EB" w:rsidP="00A427EB">
      <w:r>
        <w:t>Realizácia navrhovanej zmeny činnosti si vyžiada trvalý záber pôdy. Celková plocha záberu nového prístavku výrobnej haly je približne 2 077 m</w:t>
      </w:r>
      <w:r w:rsidRPr="00AC05B5">
        <w:rPr>
          <w:vertAlign w:val="superscript"/>
        </w:rPr>
        <w:t>2</w:t>
      </w:r>
      <w:r>
        <w:t>. V rámci realizácie projektu taktiež dôjde k vybudovaniu parkovísk s kapacitou 96 miest a prebudovaniu existujúceho  prístupu k objektom.</w:t>
      </w:r>
    </w:p>
    <w:p w14:paraId="2158E60C" w14:textId="1A5305BA" w:rsidR="00A427EB" w:rsidRPr="00A427EB" w:rsidRDefault="00A427EB" w:rsidP="000B75BC">
      <w:r>
        <w:t xml:space="preserve">Všetky čiastkové zábery pôdy, ktoré sú súčasťou navrhovanej zmeny činnosti opísanej v predloženom Oznámení o zmene sú situované na </w:t>
      </w:r>
      <w:bookmarkStart w:id="11" w:name="_Hlk30669602"/>
      <w:r>
        <w:t xml:space="preserve">parcelách KN – C </w:t>
      </w:r>
      <w:proofErr w:type="spellStart"/>
      <w:r w:rsidRPr="00646379">
        <w:t>p.č</w:t>
      </w:r>
      <w:proofErr w:type="spellEnd"/>
      <w:r w:rsidRPr="00646379">
        <w:t>. 4837/1,4837/8,4837/9,4837/10,4837/33</w:t>
      </w:r>
      <w:r w:rsidRPr="00A427EB">
        <w:t xml:space="preserve"> v </w:t>
      </w:r>
      <w:proofErr w:type="spellStart"/>
      <w:r w:rsidRPr="00A427EB">
        <w:t>k.</w:t>
      </w:r>
      <w:r>
        <w:t>ú</w:t>
      </w:r>
      <w:proofErr w:type="spellEnd"/>
      <w:r w:rsidRPr="00A427EB">
        <w:t>. Nová Baňa</w:t>
      </w:r>
      <w:r w:rsidR="00113A12">
        <w:t xml:space="preserve">. </w:t>
      </w:r>
      <w:bookmarkEnd w:id="11"/>
    </w:p>
    <w:p w14:paraId="74C76F45" w14:textId="77777777" w:rsidR="00A427EB" w:rsidRPr="000C105F" w:rsidRDefault="00A427EB" w:rsidP="000B75BC">
      <w:pPr>
        <w:rPr>
          <w:b/>
        </w:rPr>
      </w:pPr>
    </w:p>
    <w:p w14:paraId="3D78EAF1" w14:textId="5D25DA5A" w:rsidR="000C105F" w:rsidRDefault="000C105F" w:rsidP="000C105F">
      <w:pPr>
        <w:rPr>
          <w:b/>
        </w:rPr>
      </w:pPr>
      <w:bookmarkStart w:id="12" w:name="_Toc500392311"/>
      <w:r w:rsidRPr="000C105F">
        <w:rPr>
          <w:b/>
        </w:rPr>
        <w:t>Záber poľnohospodárskych a  lesných pozemkov</w:t>
      </w:r>
      <w:bookmarkEnd w:id="12"/>
    </w:p>
    <w:p w14:paraId="16772913" w14:textId="44549238" w:rsidR="00A427EB" w:rsidRDefault="00A427EB" w:rsidP="00A427EB">
      <w:pPr>
        <w:rPr>
          <w:u w:val="single"/>
        </w:rPr>
      </w:pPr>
      <w:r w:rsidRPr="007C39F6">
        <w:t>Vzhľadom na lokalizáciu navrhovanej činnosti</w:t>
      </w:r>
      <w:r>
        <w:t xml:space="preserve"> v priemyselnej časti mesta Nová Baňa</w:t>
      </w:r>
      <w:r w:rsidRPr="007C39F6">
        <w:t xml:space="preserve"> nedôjde jeho realizáciou k</w:t>
      </w:r>
      <w:r>
        <w:t> </w:t>
      </w:r>
      <w:r w:rsidRPr="007C39F6">
        <w:t>záberu</w:t>
      </w:r>
      <w:r>
        <w:t xml:space="preserve"> nových poľnohospodárskych ani</w:t>
      </w:r>
      <w:r w:rsidRPr="007C39F6">
        <w:t xml:space="preserve"> lesných pozemkov</w:t>
      </w:r>
    </w:p>
    <w:p w14:paraId="1036841E" w14:textId="77777777" w:rsidR="00A427EB" w:rsidRPr="000C105F" w:rsidRDefault="00A427EB" w:rsidP="000C105F">
      <w:pPr>
        <w:rPr>
          <w:b/>
        </w:rPr>
      </w:pPr>
    </w:p>
    <w:p w14:paraId="077248D8" w14:textId="76621513" w:rsidR="000C105F" w:rsidRDefault="000C105F" w:rsidP="000C105F">
      <w:pPr>
        <w:rPr>
          <w:b/>
        </w:rPr>
      </w:pPr>
      <w:r w:rsidRPr="000C105F">
        <w:rPr>
          <w:b/>
        </w:rPr>
        <w:t>Nároky na zastavané územie</w:t>
      </w:r>
    </w:p>
    <w:p w14:paraId="18E8F670" w14:textId="5E24C98A" w:rsidR="00A427EB" w:rsidRPr="00A427EB" w:rsidRDefault="00A427EB" w:rsidP="00A427EB">
      <w:pPr>
        <w:rPr>
          <w:bCs/>
          <w:i/>
          <w:iCs/>
        </w:rPr>
      </w:pPr>
      <w:r w:rsidRPr="00A427EB">
        <w:rPr>
          <w:bCs/>
        </w:rPr>
        <w:t xml:space="preserve">Stavebný objekt </w:t>
      </w:r>
      <w:r w:rsidRPr="00A427EB">
        <w:rPr>
          <w:bCs/>
          <w:i/>
          <w:iCs/>
        </w:rPr>
        <w:t xml:space="preserve">SO 03 – Prestavba skladu </w:t>
      </w:r>
      <w:r w:rsidRPr="00A427EB">
        <w:rPr>
          <w:bCs/>
        </w:rPr>
        <w:t>zahŕňa čiastočnú asanáciu existujúceho objektu</w:t>
      </w:r>
      <w:r>
        <w:rPr>
          <w:bCs/>
        </w:rPr>
        <w:t>, ktorý je vo vlastníctve investora. Žiadne ďalšie nároky na zastavané územie projekt nekladie.</w:t>
      </w:r>
    </w:p>
    <w:p w14:paraId="2BCF7DC7" w14:textId="3C42F8CF" w:rsidR="00A427EB" w:rsidRPr="000C105F" w:rsidRDefault="00A427EB" w:rsidP="000C105F">
      <w:pPr>
        <w:rPr>
          <w:b/>
        </w:rPr>
      </w:pPr>
    </w:p>
    <w:p w14:paraId="4116DAE3" w14:textId="6E8A5B7A" w:rsidR="000C105F" w:rsidRDefault="000C105F" w:rsidP="000C105F">
      <w:pPr>
        <w:rPr>
          <w:b/>
        </w:rPr>
      </w:pPr>
      <w:r w:rsidRPr="000C105F">
        <w:rPr>
          <w:b/>
        </w:rPr>
        <w:t>Nároky na pracovné sily</w:t>
      </w:r>
    </w:p>
    <w:p w14:paraId="713327D0" w14:textId="2B7C6469" w:rsidR="00A427EB" w:rsidRDefault="008647CC" w:rsidP="003D187D">
      <w:r>
        <w:t xml:space="preserve">V prevádzke spoločnosti </w:t>
      </w:r>
      <w:proofErr w:type="spellStart"/>
      <w:r>
        <w:t>Tristone</w:t>
      </w:r>
      <w:proofErr w:type="spellEnd"/>
      <w:r>
        <w:t xml:space="preserve"> </w:t>
      </w:r>
      <w:proofErr w:type="spellStart"/>
      <w:r>
        <w:t>Flowtech</w:t>
      </w:r>
      <w:proofErr w:type="spellEnd"/>
      <w:r>
        <w:t>, s.r.o. ktorá je dotknutá navrhovanou zmenou činnosti opísanou v predkladanom Oznámení o zmene činnosti v súčasnosti pracuje cca 103 zamestnancov. Počet pracovných síl pracujúcich pôvodnej prevádzke zostane nezmenený. Realizáciou navrhovanej zmeny dôjde k vytvoreniu cca 175 nových pracovných miest v troch zmenách podľa nasledujúceho predpokladaného rozdelenia:</w:t>
      </w:r>
    </w:p>
    <w:p w14:paraId="27BA6BE6" w14:textId="77777777" w:rsidR="003D187D" w:rsidRPr="003D187D" w:rsidRDefault="003D187D" w:rsidP="003D187D"/>
    <w:p w14:paraId="1FD15B78" w14:textId="30F9221D" w:rsidR="003D187D" w:rsidRDefault="003D187D" w:rsidP="003D187D">
      <w:pPr>
        <w:pStyle w:val="Popis"/>
        <w:keepNext/>
      </w:pPr>
      <w:r>
        <w:t xml:space="preserve">Tab. </w:t>
      </w:r>
      <w:r>
        <w:fldChar w:fldCharType="begin"/>
      </w:r>
      <w:r>
        <w:instrText xml:space="preserve"> SEQ Tab. \* ARABIC </w:instrText>
      </w:r>
      <w:r>
        <w:fldChar w:fldCharType="separate"/>
      </w:r>
      <w:r w:rsidR="00467FCC">
        <w:rPr>
          <w:noProof/>
        </w:rPr>
        <w:t>2</w:t>
      </w:r>
      <w:r>
        <w:fldChar w:fldCharType="end"/>
      </w:r>
      <w:r>
        <w:t xml:space="preserve"> – Predpokladané rozloženie pracovných síl ktoré bude vyžadovať navrhovaná zmena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666"/>
        <w:gridCol w:w="947"/>
        <w:gridCol w:w="896"/>
        <w:gridCol w:w="1000"/>
        <w:gridCol w:w="984"/>
        <w:gridCol w:w="911"/>
        <w:gridCol w:w="932"/>
        <w:gridCol w:w="964"/>
      </w:tblGrid>
      <w:tr w:rsidR="003D187D" w:rsidRPr="003D187D" w14:paraId="304A596C" w14:textId="77777777" w:rsidTr="003D187D">
        <w:trPr>
          <w:jc w:val="center"/>
        </w:trPr>
        <w:tc>
          <w:tcPr>
            <w:tcW w:w="2666" w:type="dxa"/>
            <w:vMerge w:val="restart"/>
            <w:shd w:val="clear" w:color="auto" w:fill="808080" w:themeFill="background1" w:themeFillShade="80"/>
            <w:vAlign w:val="center"/>
          </w:tcPr>
          <w:p w14:paraId="528B3B91" w14:textId="77777777" w:rsidR="003D187D" w:rsidRPr="003D187D" w:rsidRDefault="003D187D" w:rsidP="003D187D">
            <w:pPr>
              <w:spacing w:before="120" w:line="240" w:lineRule="atLeast"/>
              <w:jc w:val="center"/>
              <w:rPr>
                <w:b/>
                <w:bCs/>
                <w:i/>
                <w:iCs/>
              </w:rPr>
            </w:pPr>
            <w:r w:rsidRPr="003D187D">
              <w:rPr>
                <w:b/>
                <w:bCs/>
                <w:i/>
                <w:iCs/>
              </w:rPr>
              <w:t>Počet pracovníkov</w:t>
            </w:r>
          </w:p>
        </w:tc>
        <w:tc>
          <w:tcPr>
            <w:tcW w:w="1843" w:type="dxa"/>
            <w:gridSpan w:val="2"/>
            <w:shd w:val="clear" w:color="auto" w:fill="808080" w:themeFill="background1" w:themeFillShade="80"/>
            <w:vAlign w:val="center"/>
          </w:tcPr>
          <w:p w14:paraId="4278FDD2" w14:textId="332059AF" w:rsidR="003D187D" w:rsidRPr="003D187D" w:rsidRDefault="003D187D" w:rsidP="003D187D">
            <w:pPr>
              <w:spacing w:before="120" w:line="240" w:lineRule="atLeast"/>
              <w:jc w:val="center"/>
              <w:rPr>
                <w:b/>
                <w:bCs/>
                <w:i/>
                <w:iCs/>
              </w:rPr>
            </w:pPr>
            <w:r w:rsidRPr="003D187D">
              <w:rPr>
                <w:b/>
                <w:bCs/>
                <w:i/>
                <w:iCs/>
              </w:rPr>
              <w:t>I. zmena</w:t>
            </w:r>
          </w:p>
        </w:tc>
        <w:tc>
          <w:tcPr>
            <w:tcW w:w="1984" w:type="dxa"/>
            <w:gridSpan w:val="2"/>
            <w:shd w:val="clear" w:color="auto" w:fill="808080" w:themeFill="background1" w:themeFillShade="80"/>
            <w:vAlign w:val="center"/>
          </w:tcPr>
          <w:p w14:paraId="36AE3A74" w14:textId="75DF0581" w:rsidR="003D187D" w:rsidRPr="003D187D" w:rsidRDefault="003D187D" w:rsidP="003D187D">
            <w:pPr>
              <w:spacing w:before="120" w:line="240" w:lineRule="atLeast"/>
              <w:jc w:val="center"/>
              <w:rPr>
                <w:b/>
                <w:bCs/>
                <w:i/>
                <w:iCs/>
              </w:rPr>
            </w:pPr>
            <w:r w:rsidRPr="003D187D">
              <w:rPr>
                <w:b/>
                <w:bCs/>
                <w:i/>
                <w:iCs/>
              </w:rPr>
              <w:t>II. zmena</w:t>
            </w:r>
          </w:p>
        </w:tc>
        <w:tc>
          <w:tcPr>
            <w:tcW w:w="1843" w:type="dxa"/>
            <w:gridSpan w:val="2"/>
            <w:shd w:val="clear" w:color="auto" w:fill="808080" w:themeFill="background1" w:themeFillShade="80"/>
            <w:vAlign w:val="center"/>
          </w:tcPr>
          <w:p w14:paraId="550553D3" w14:textId="5506B552" w:rsidR="003D187D" w:rsidRPr="003D187D" w:rsidRDefault="003D187D" w:rsidP="003D187D">
            <w:pPr>
              <w:spacing w:before="120" w:line="240" w:lineRule="atLeast"/>
              <w:jc w:val="center"/>
              <w:rPr>
                <w:b/>
                <w:bCs/>
                <w:i/>
                <w:iCs/>
              </w:rPr>
            </w:pPr>
            <w:r w:rsidRPr="003D187D">
              <w:rPr>
                <w:b/>
                <w:bCs/>
                <w:i/>
                <w:iCs/>
              </w:rPr>
              <w:t>III. zmena</w:t>
            </w:r>
          </w:p>
        </w:tc>
        <w:tc>
          <w:tcPr>
            <w:tcW w:w="964" w:type="dxa"/>
            <w:vMerge w:val="restart"/>
            <w:shd w:val="clear" w:color="auto" w:fill="808080" w:themeFill="background1" w:themeFillShade="80"/>
            <w:vAlign w:val="center"/>
          </w:tcPr>
          <w:p w14:paraId="486D9DC5" w14:textId="77777777" w:rsidR="003D187D" w:rsidRPr="003D187D" w:rsidRDefault="003D187D" w:rsidP="003D187D">
            <w:pPr>
              <w:spacing w:before="120" w:line="240" w:lineRule="atLeast"/>
              <w:jc w:val="center"/>
              <w:rPr>
                <w:b/>
                <w:bCs/>
                <w:i/>
                <w:iCs/>
              </w:rPr>
            </w:pPr>
            <w:r w:rsidRPr="003D187D">
              <w:rPr>
                <w:b/>
                <w:bCs/>
                <w:i/>
                <w:iCs/>
              </w:rPr>
              <w:t>Spolu</w:t>
            </w:r>
          </w:p>
        </w:tc>
      </w:tr>
      <w:tr w:rsidR="003D187D" w:rsidRPr="003D187D" w14:paraId="5F315073" w14:textId="77777777" w:rsidTr="003D187D">
        <w:trPr>
          <w:cantSplit/>
          <w:jc w:val="center"/>
        </w:trPr>
        <w:tc>
          <w:tcPr>
            <w:tcW w:w="2666" w:type="dxa"/>
            <w:vMerge/>
            <w:shd w:val="clear" w:color="auto" w:fill="808080" w:themeFill="background1" w:themeFillShade="80"/>
            <w:vAlign w:val="center"/>
          </w:tcPr>
          <w:p w14:paraId="2F554952" w14:textId="77777777" w:rsidR="003D187D" w:rsidRPr="003D187D" w:rsidRDefault="003D187D" w:rsidP="003D187D">
            <w:pPr>
              <w:spacing w:before="120" w:line="240" w:lineRule="atLeast"/>
              <w:jc w:val="center"/>
              <w:rPr>
                <w:b/>
                <w:bCs/>
                <w:i/>
                <w:iCs/>
              </w:rPr>
            </w:pPr>
          </w:p>
        </w:tc>
        <w:tc>
          <w:tcPr>
            <w:tcW w:w="947" w:type="dxa"/>
            <w:shd w:val="clear" w:color="auto" w:fill="808080" w:themeFill="background1" w:themeFillShade="80"/>
            <w:vAlign w:val="center"/>
          </w:tcPr>
          <w:p w14:paraId="75EA9465" w14:textId="77777777" w:rsidR="003D187D" w:rsidRPr="003D187D" w:rsidRDefault="003D187D" w:rsidP="003D187D">
            <w:pPr>
              <w:spacing w:before="120" w:line="240" w:lineRule="atLeast"/>
              <w:jc w:val="center"/>
              <w:rPr>
                <w:b/>
                <w:bCs/>
                <w:i/>
                <w:iCs/>
              </w:rPr>
            </w:pPr>
            <w:r w:rsidRPr="003D187D">
              <w:rPr>
                <w:b/>
                <w:bCs/>
                <w:i/>
                <w:iCs/>
              </w:rPr>
              <w:t>muži</w:t>
            </w:r>
          </w:p>
        </w:tc>
        <w:tc>
          <w:tcPr>
            <w:tcW w:w="896" w:type="dxa"/>
            <w:shd w:val="clear" w:color="auto" w:fill="808080" w:themeFill="background1" w:themeFillShade="80"/>
            <w:vAlign w:val="center"/>
          </w:tcPr>
          <w:p w14:paraId="434BDD14" w14:textId="77777777" w:rsidR="003D187D" w:rsidRPr="003D187D" w:rsidRDefault="003D187D" w:rsidP="003D187D">
            <w:pPr>
              <w:spacing w:before="120" w:line="240" w:lineRule="atLeast"/>
              <w:jc w:val="center"/>
              <w:rPr>
                <w:b/>
                <w:bCs/>
                <w:i/>
                <w:iCs/>
              </w:rPr>
            </w:pPr>
            <w:r w:rsidRPr="003D187D">
              <w:rPr>
                <w:b/>
                <w:bCs/>
                <w:i/>
                <w:iCs/>
              </w:rPr>
              <w:t>ženy</w:t>
            </w:r>
          </w:p>
        </w:tc>
        <w:tc>
          <w:tcPr>
            <w:tcW w:w="1000" w:type="dxa"/>
            <w:shd w:val="clear" w:color="auto" w:fill="808080" w:themeFill="background1" w:themeFillShade="80"/>
            <w:vAlign w:val="center"/>
          </w:tcPr>
          <w:p w14:paraId="506D21CE" w14:textId="77777777" w:rsidR="003D187D" w:rsidRPr="003D187D" w:rsidRDefault="003D187D" w:rsidP="003D187D">
            <w:pPr>
              <w:spacing w:before="120" w:line="240" w:lineRule="atLeast"/>
              <w:jc w:val="center"/>
              <w:rPr>
                <w:b/>
                <w:bCs/>
                <w:i/>
                <w:iCs/>
              </w:rPr>
            </w:pPr>
            <w:r w:rsidRPr="003D187D">
              <w:rPr>
                <w:b/>
                <w:bCs/>
                <w:i/>
                <w:iCs/>
              </w:rPr>
              <w:t>muži</w:t>
            </w:r>
          </w:p>
        </w:tc>
        <w:tc>
          <w:tcPr>
            <w:tcW w:w="984" w:type="dxa"/>
            <w:shd w:val="clear" w:color="auto" w:fill="808080" w:themeFill="background1" w:themeFillShade="80"/>
            <w:vAlign w:val="center"/>
          </w:tcPr>
          <w:p w14:paraId="05B6B800" w14:textId="77777777" w:rsidR="003D187D" w:rsidRPr="003D187D" w:rsidRDefault="003D187D" w:rsidP="003D187D">
            <w:pPr>
              <w:spacing w:before="120" w:line="240" w:lineRule="atLeast"/>
              <w:jc w:val="center"/>
              <w:rPr>
                <w:b/>
                <w:bCs/>
                <w:i/>
                <w:iCs/>
              </w:rPr>
            </w:pPr>
            <w:r w:rsidRPr="003D187D">
              <w:rPr>
                <w:b/>
                <w:bCs/>
                <w:i/>
                <w:iCs/>
              </w:rPr>
              <w:t>ženy</w:t>
            </w:r>
          </w:p>
        </w:tc>
        <w:tc>
          <w:tcPr>
            <w:tcW w:w="911" w:type="dxa"/>
            <w:shd w:val="clear" w:color="auto" w:fill="808080" w:themeFill="background1" w:themeFillShade="80"/>
            <w:vAlign w:val="center"/>
          </w:tcPr>
          <w:p w14:paraId="4DBD9B83" w14:textId="77777777" w:rsidR="003D187D" w:rsidRPr="003D187D" w:rsidRDefault="003D187D" w:rsidP="003D187D">
            <w:pPr>
              <w:spacing w:before="120" w:line="240" w:lineRule="atLeast"/>
              <w:jc w:val="center"/>
              <w:rPr>
                <w:b/>
                <w:bCs/>
                <w:i/>
                <w:iCs/>
              </w:rPr>
            </w:pPr>
            <w:r w:rsidRPr="003D187D">
              <w:rPr>
                <w:b/>
                <w:bCs/>
                <w:i/>
                <w:iCs/>
              </w:rPr>
              <w:t>muži</w:t>
            </w:r>
          </w:p>
        </w:tc>
        <w:tc>
          <w:tcPr>
            <w:tcW w:w="932" w:type="dxa"/>
            <w:shd w:val="clear" w:color="auto" w:fill="808080" w:themeFill="background1" w:themeFillShade="80"/>
            <w:vAlign w:val="center"/>
          </w:tcPr>
          <w:p w14:paraId="7E03BD50" w14:textId="77777777" w:rsidR="003D187D" w:rsidRPr="003D187D" w:rsidRDefault="003D187D" w:rsidP="003D187D">
            <w:pPr>
              <w:spacing w:before="120" w:line="240" w:lineRule="atLeast"/>
              <w:jc w:val="center"/>
              <w:rPr>
                <w:b/>
                <w:bCs/>
                <w:i/>
                <w:iCs/>
              </w:rPr>
            </w:pPr>
            <w:r w:rsidRPr="003D187D">
              <w:rPr>
                <w:b/>
                <w:bCs/>
                <w:i/>
                <w:iCs/>
              </w:rPr>
              <w:t>ženy</w:t>
            </w:r>
          </w:p>
        </w:tc>
        <w:tc>
          <w:tcPr>
            <w:tcW w:w="964" w:type="dxa"/>
            <w:vMerge/>
            <w:shd w:val="clear" w:color="auto" w:fill="808080" w:themeFill="background1" w:themeFillShade="80"/>
            <w:vAlign w:val="center"/>
          </w:tcPr>
          <w:p w14:paraId="7082A643" w14:textId="77777777" w:rsidR="003D187D" w:rsidRPr="003D187D" w:rsidRDefault="003D187D" w:rsidP="003D187D">
            <w:pPr>
              <w:spacing w:before="120" w:line="240" w:lineRule="atLeast"/>
              <w:jc w:val="center"/>
              <w:rPr>
                <w:b/>
                <w:bCs/>
                <w:i/>
                <w:iCs/>
              </w:rPr>
            </w:pPr>
          </w:p>
        </w:tc>
      </w:tr>
      <w:tr w:rsidR="00A427EB" w:rsidRPr="001808DF" w14:paraId="6946F747" w14:textId="77777777" w:rsidTr="003D187D">
        <w:trPr>
          <w:jc w:val="center"/>
        </w:trPr>
        <w:tc>
          <w:tcPr>
            <w:tcW w:w="2666" w:type="dxa"/>
            <w:vAlign w:val="center"/>
          </w:tcPr>
          <w:p w14:paraId="01E82C37" w14:textId="77777777" w:rsidR="00A427EB" w:rsidRPr="001808DF" w:rsidRDefault="00A427EB" w:rsidP="003D187D">
            <w:pPr>
              <w:spacing w:before="120" w:line="240" w:lineRule="atLeast"/>
              <w:jc w:val="center"/>
            </w:pPr>
            <w:r w:rsidRPr="001808DF">
              <w:t>Výrobný zamestnanci</w:t>
            </w:r>
          </w:p>
        </w:tc>
        <w:tc>
          <w:tcPr>
            <w:tcW w:w="947" w:type="dxa"/>
            <w:vAlign w:val="center"/>
          </w:tcPr>
          <w:p w14:paraId="42F4E4B1" w14:textId="77777777" w:rsidR="00A427EB" w:rsidRPr="001808DF" w:rsidRDefault="00A427EB" w:rsidP="003D187D">
            <w:pPr>
              <w:spacing w:before="120" w:line="240" w:lineRule="atLeast"/>
              <w:jc w:val="center"/>
            </w:pPr>
            <w:r w:rsidRPr="001808DF">
              <w:t>21</w:t>
            </w:r>
          </w:p>
        </w:tc>
        <w:tc>
          <w:tcPr>
            <w:tcW w:w="896" w:type="dxa"/>
            <w:vAlign w:val="center"/>
          </w:tcPr>
          <w:p w14:paraId="47F6224F" w14:textId="77777777" w:rsidR="00A427EB" w:rsidRPr="001808DF" w:rsidRDefault="00A427EB" w:rsidP="003D187D">
            <w:pPr>
              <w:spacing w:before="120" w:line="240" w:lineRule="atLeast"/>
              <w:jc w:val="center"/>
            </w:pPr>
            <w:r w:rsidRPr="001808DF">
              <w:t>40</w:t>
            </w:r>
          </w:p>
        </w:tc>
        <w:tc>
          <w:tcPr>
            <w:tcW w:w="1000" w:type="dxa"/>
            <w:vAlign w:val="center"/>
          </w:tcPr>
          <w:p w14:paraId="488F1088" w14:textId="77777777" w:rsidR="00A427EB" w:rsidRPr="001808DF" w:rsidRDefault="00A427EB" w:rsidP="003D187D">
            <w:pPr>
              <w:spacing w:before="120" w:line="240" w:lineRule="atLeast"/>
              <w:jc w:val="center"/>
            </w:pPr>
            <w:r w:rsidRPr="001808DF">
              <w:t>13</w:t>
            </w:r>
          </w:p>
        </w:tc>
        <w:tc>
          <w:tcPr>
            <w:tcW w:w="984" w:type="dxa"/>
            <w:vAlign w:val="center"/>
          </w:tcPr>
          <w:p w14:paraId="337A1776" w14:textId="77777777" w:rsidR="00A427EB" w:rsidRPr="001808DF" w:rsidRDefault="00A427EB" w:rsidP="003D187D">
            <w:pPr>
              <w:spacing w:before="120" w:line="240" w:lineRule="atLeast"/>
              <w:jc w:val="center"/>
            </w:pPr>
            <w:r w:rsidRPr="001808DF">
              <w:t>24</w:t>
            </w:r>
          </w:p>
        </w:tc>
        <w:tc>
          <w:tcPr>
            <w:tcW w:w="911" w:type="dxa"/>
            <w:vAlign w:val="center"/>
          </w:tcPr>
          <w:p w14:paraId="6DE2CC7A" w14:textId="77777777" w:rsidR="00A427EB" w:rsidRPr="001808DF" w:rsidRDefault="00A427EB" w:rsidP="003D187D">
            <w:pPr>
              <w:spacing w:before="120" w:line="240" w:lineRule="atLeast"/>
              <w:jc w:val="center"/>
            </w:pPr>
            <w:r w:rsidRPr="001808DF">
              <w:t>13</w:t>
            </w:r>
          </w:p>
        </w:tc>
        <w:tc>
          <w:tcPr>
            <w:tcW w:w="932" w:type="dxa"/>
            <w:vAlign w:val="center"/>
          </w:tcPr>
          <w:p w14:paraId="30CB5085" w14:textId="77777777" w:rsidR="00A427EB" w:rsidRPr="001808DF" w:rsidRDefault="00A427EB" w:rsidP="003D187D">
            <w:pPr>
              <w:spacing w:before="120" w:line="240" w:lineRule="atLeast"/>
              <w:jc w:val="center"/>
            </w:pPr>
            <w:r w:rsidRPr="001808DF">
              <w:t>24</w:t>
            </w:r>
          </w:p>
        </w:tc>
        <w:tc>
          <w:tcPr>
            <w:tcW w:w="964" w:type="dxa"/>
            <w:vAlign w:val="center"/>
          </w:tcPr>
          <w:p w14:paraId="02DCBCE3" w14:textId="77777777" w:rsidR="00A427EB" w:rsidRPr="001808DF" w:rsidRDefault="00A427EB" w:rsidP="003D187D">
            <w:pPr>
              <w:spacing w:before="120" w:line="240" w:lineRule="atLeast"/>
              <w:jc w:val="center"/>
            </w:pPr>
            <w:r w:rsidRPr="001808DF">
              <w:t>135</w:t>
            </w:r>
          </w:p>
        </w:tc>
      </w:tr>
      <w:tr w:rsidR="00A427EB" w:rsidRPr="001808DF" w14:paraId="64651491" w14:textId="77777777" w:rsidTr="003D187D">
        <w:trPr>
          <w:jc w:val="center"/>
        </w:trPr>
        <w:tc>
          <w:tcPr>
            <w:tcW w:w="2666" w:type="dxa"/>
            <w:vAlign w:val="center"/>
          </w:tcPr>
          <w:p w14:paraId="62893C14" w14:textId="77777777" w:rsidR="00A427EB" w:rsidRPr="001808DF" w:rsidRDefault="00A427EB" w:rsidP="003D187D">
            <w:pPr>
              <w:spacing w:before="120" w:line="240" w:lineRule="atLeast"/>
              <w:jc w:val="center"/>
            </w:pPr>
            <w:r w:rsidRPr="001808DF">
              <w:t>Administratíva</w:t>
            </w:r>
          </w:p>
        </w:tc>
        <w:tc>
          <w:tcPr>
            <w:tcW w:w="947" w:type="dxa"/>
            <w:vAlign w:val="center"/>
          </w:tcPr>
          <w:p w14:paraId="45D2C194" w14:textId="77777777" w:rsidR="00A427EB" w:rsidRPr="001808DF" w:rsidRDefault="00A427EB" w:rsidP="003D187D">
            <w:pPr>
              <w:spacing w:before="120" w:line="240" w:lineRule="atLeast"/>
              <w:jc w:val="center"/>
            </w:pPr>
            <w:r w:rsidRPr="001808DF">
              <w:t>16</w:t>
            </w:r>
          </w:p>
        </w:tc>
        <w:tc>
          <w:tcPr>
            <w:tcW w:w="896" w:type="dxa"/>
            <w:vAlign w:val="center"/>
          </w:tcPr>
          <w:p w14:paraId="41591D56" w14:textId="77777777" w:rsidR="00A427EB" w:rsidRPr="001808DF" w:rsidRDefault="00A427EB" w:rsidP="003D187D">
            <w:pPr>
              <w:spacing w:before="120" w:line="240" w:lineRule="atLeast"/>
              <w:jc w:val="center"/>
            </w:pPr>
            <w:r w:rsidRPr="001808DF">
              <w:t>24</w:t>
            </w:r>
          </w:p>
        </w:tc>
        <w:tc>
          <w:tcPr>
            <w:tcW w:w="1000" w:type="dxa"/>
            <w:vAlign w:val="center"/>
          </w:tcPr>
          <w:p w14:paraId="12C74C87" w14:textId="77777777" w:rsidR="00A427EB" w:rsidRPr="001808DF" w:rsidRDefault="00A427EB" w:rsidP="003D187D">
            <w:pPr>
              <w:spacing w:before="120" w:line="240" w:lineRule="atLeast"/>
              <w:jc w:val="center"/>
            </w:pPr>
            <w:r w:rsidRPr="001808DF">
              <w:t>-</w:t>
            </w:r>
          </w:p>
        </w:tc>
        <w:tc>
          <w:tcPr>
            <w:tcW w:w="984" w:type="dxa"/>
            <w:vAlign w:val="center"/>
          </w:tcPr>
          <w:p w14:paraId="02CF9A2F" w14:textId="77777777" w:rsidR="00A427EB" w:rsidRPr="001808DF" w:rsidRDefault="00A427EB" w:rsidP="003D187D">
            <w:pPr>
              <w:spacing w:before="120" w:line="240" w:lineRule="atLeast"/>
              <w:jc w:val="center"/>
            </w:pPr>
            <w:r w:rsidRPr="001808DF">
              <w:t>-</w:t>
            </w:r>
          </w:p>
        </w:tc>
        <w:tc>
          <w:tcPr>
            <w:tcW w:w="911" w:type="dxa"/>
            <w:vAlign w:val="center"/>
          </w:tcPr>
          <w:p w14:paraId="715AA6F5" w14:textId="77777777" w:rsidR="00A427EB" w:rsidRPr="001808DF" w:rsidRDefault="00A427EB" w:rsidP="003D187D">
            <w:pPr>
              <w:spacing w:before="120" w:line="240" w:lineRule="atLeast"/>
              <w:jc w:val="center"/>
            </w:pPr>
            <w:r w:rsidRPr="001808DF">
              <w:t>-</w:t>
            </w:r>
          </w:p>
        </w:tc>
        <w:tc>
          <w:tcPr>
            <w:tcW w:w="932" w:type="dxa"/>
            <w:vAlign w:val="center"/>
          </w:tcPr>
          <w:p w14:paraId="3DC3F373" w14:textId="77777777" w:rsidR="00A427EB" w:rsidRPr="001808DF" w:rsidRDefault="00A427EB" w:rsidP="003D187D">
            <w:pPr>
              <w:spacing w:before="120" w:line="240" w:lineRule="atLeast"/>
              <w:jc w:val="center"/>
            </w:pPr>
            <w:r w:rsidRPr="001808DF">
              <w:t>-</w:t>
            </w:r>
          </w:p>
        </w:tc>
        <w:tc>
          <w:tcPr>
            <w:tcW w:w="964" w:type="dxa"/>
            <w:vAlign w:val="center"/>
          </w:tcPr>
          <w:p w14:paraId="215F69A8" w14:textId="77777777" w:rsidR="00A427EB" w:rsidRPr="001808DF" w:rsidRDefault="00A427EB" w:rsidP="003D187D">
            <w:pPr>
              <w:spacing w:before="120" w:line="240" w:lineRule="atLeast"/>
              <w:jc w:val="center"/>
            </w:pPr>
            <w:r w:rsidRPr="001808DF">
              <w:t>40</w:t>
            </w:r>
          </w:p>
        </w:tc>
      </w:tr>
      <w:tr w:rsidR="00A427EB" w:rsidRPr="001808DF" w14:paraId="7567DAFB" w14:textId="77777777" w:rsidTr="003D187D">
        <w:trPr>
          <w:jc w:val="center"/>
        </w:trPr>
        <w:tc>
          <w:tcPr>
            <w:tcW w:w="2666" w:type="dxa"/>
            <w:vAlign w:val="center"/>
          </w:tcPr>
          <w:p w14:paraId="14D2E3E8" w14:textId="77777777" w:rsidR="00A427EB" w:rsidRPr="001808DF" w:rsidRDefault="00A427EB" w:rsidP="003D187D">
            <w:pPr>
              <w:spacing w:before="120" w:line="240" w:lineRule="atLeast"/>
              <w:jc w:val="center"/>
            </w:pPr>
            <w:r w:rsidRPr="001808DF">
              <w:t>Spolu</w:t>
            </w:r>
          </w:p>
        </w:tc>
        <w:tc>
          <w:tcPr>
            <w:tcW w:w="947" w:type="dxa"/>
            <w:vAlign w:val="center"/>
          </w:tcPr>
          <w:p w14:paraId="797DFDF7" w14:textId="77777777" w:rsidR="00A427EB" w:rsidRPr="001808DF" w:rsidRDefault="00A427EB" w:rsidP="003D187D">
            <w:pPr>
              <w:spacing w:before="120" w:line="240" w:lineRule="atLeast"/>
              <w:jc w:val="center"/>
            </w:pPr>
            <w:r w:rsidRPr="001808DF">
              <w:t>37</w:t>
            </w:r>
          </w:p>
        </w:tc>
        <w:tc>
          <w:tcPr>
            <w:tcW w:w="896" w:type="dxa"/>
            <w:vAlign w:val="center"/>
          </w:tcPr>
          <w:p w14:paraId="7184DFE4" w14:textId="77777777" w:rsidR="00A427EB" w:rsidRPr="001808DF" w:rsidRDefault="00A427EB" w:rsidP="003D187D">
            <w:pPr>
              <w:spacing w:before="120" w:line="240" w:lineRule="atLeast"/>
              <w:jc w:val="center"/>
            </w:pPr>
            <w:r w:rsidRPr="001808DF">
              <w:t>64</w:t>
            </w:r>
          </w:p>
        </w:tc>
        <w:tc>
          <w:tcPr>
            <w:tcW w:w="1000" w:type="dxa"/>
            <w:vAlign w:val="center"/>
          </w:tcPr>
          <w:p w14:paraId="118E3514" w14:textId="77777777" w:rsidR="00A427EB" w:rsidRPr="001808DF" w:rsidRDefault="00A427EB" w:rsidP="003D187D">
            <w:pPr>
              <w:spacing w:before="120" w:line="240" w:lineRule="atLeast"/>
              <w:jc w:val="center"/>
            </w:pPr>
            <w:r w:rsidRPr="001808DF">
              <w:t>13</w:t>
            </w:r>
          </w:p>
        </w:tc>
        <w:tc>
          <w:tcPr>
            <w:tcW w:w="984" w:type="dxa"/>
            <w:vAlign w:val="center"/>
          </w:tcPr>
          <w:p w14:paraId="1796EE80" w14:textId="77777777" w:rsidR="00A427EB" w:rsidRPr="001808DF" w:rsidRDefault="00A427EB" w:rsidP="003D187D">
            <w:pPr>
              <w:spacing w:before="120" w:line="240" w:lineRule="atLeast"/>
              <w:jc w:val="center"/>
            </w:pPr>
            <w:r w:rsidRPr="001808DF">
              <w:t>24</w:t>
            </w:r>
          </w:p>
        </w:tc>
        <w:tc>
          <w:tcPr>
            <w:tcW w:w="911" w:type="dxa"/>
            <w:vAlign w:val="center"/>
          </w:tcPr>
          <w:p w14:paraId="14485AC0" w14:textId="77777777" w:rsidR="00A427EB" w:rsidRPr="001808DF" w:rsidRDefault="00A427EB" w:rsidP="003D187D">
            <w:pPr>
              <w:spacing w:before="120" w:line="240" w:lineRule="atLeast"/>
              <w:jc w:val="center"/>
            </w:pPr>
            <w:r w:rsidRPr="001808DF">
              <w:t>13</w:t>
            </w:r>
          </w:p>
        </w:tc>
        <w:tc>
          <w:tcPr>
            <w:tcW w:w="932" w:type="dxa"/>
            <w:vAlign w:val="center"/>
          </w:tcPr>
          <w:p w14:paraId="36CE3EB5" w14:textId="77777777" w:rsidR="00A427EB" w:rsidRPr="001808DF" w:rsidRDefault="00A427EB" w:rsidP="003D187D">
            <w:pPr>
              <w:spacing w:before="120" w:line="240" w:lineRule="atLeast"/>
              <w:jc w:val="center"/>
            </w:pPr>
            <w:r w:rsidRPr="001808DF">
              <w:t>24</w:t>
            </w:r>
          </w:p>
        </w:tc>
        <w:tc>
          <w:tcPr>
            <w:tcW w:w="964" w:type="dxa"/>
            <w:vAlign w:val="center"/>
          </w:tcPr>
          <w:p w14:paraId="2148801F" w14:textId="77777777" w:rsidR="00A427EB" w:rsidRPr="001808DF" w:rsidRDefault="00A427EB" w:rsidP="003D187D">
            <w:pPr>
              <w:spacing w:before="120" w:line="240" w:lineRule="atLeast"/>
              <w:jc w:val="center"/>
            </w:pPr>
            <w:r w:rsidRPr="001808DF">
              <w:t>175</w:t>
            </w:r>
          </w:p>
        </w:tc>
      </w:tr>
    </w:tbl>
    <w:p w14:paraId="6C73B704" w14:textId="7DB20A5D" w:rsidR="00F92C4D" w:rsidRDefault="00F92C4D" w:rsidP="000C105F">
      <w:pPr>
        <w:rPr>
          <w:b/>
        </w:rPr>
      </w:pPr>
    </w:p>
    <w:p w14:paraId="324488D9" w14:textId="77777777" w:rsidR="00606EB1" w:rsidRDefault="00606EB1" w:rsidP="000C105F">
      <w:pPr>
        <w:rPr>
          <w:b/>
        </w:rPr>
      </w:pPr>
    </w:p>
    <w:p w14:paraId="707A3FAF" w14:textId="6FEF4CD8" w:rsidR="003D187D" w:rsidRDefault="003D187D" w:rsidP="003D187D">
      <w:pPr>
        <w:pStyle w:val="Popis"/>
        <w:keepNext/>
      </w:pPr>
      <w:r>
        <w:lastRenderedPageBreak/>
        <w:t xml:space="preserve">Tab. </w:t>
      </w:r>
      <w:r>
        <w:fldChar w:fldCharType="begin"/>
      </w:r>
      <w:r>
        <w:instrText xml:space="preserve"> SEQ Tab. \* ARABIC </w:instrText>
      </w:r>
      <w:r>
        <w:fldChar w:fldCharType="separate"/>
      </w:r>
      <w:r w:rsidR="00467FCC">
        <w:rPr>
          <w:noProof/>
        </w:rPr>
        <w:t>3</w:t>
      </w:r>
      <w:r>
        <w:fldChar w:fldCharType="end"/>
      </w:r>
      <w:r>
        <w:t xml:space="preserve"> – Zmena počtu zamestnancov v dôsledku navrhovanej zmeny</w:t>
      </w:r>
    </w:p>
    <w:tbl>
      <w:tblPr>
        <w:tblStyle w:val="Mriekatabuky"/>
        <w:tblW w:w="0" w:type="auto"/>
        <w:tblLook w:val="04A0" w:firstRow="1" w:lastRow="0" w:firstColumn="1" w:lastColumn="0" w:noHBand="0" w:noVBand="1"/>
      </w:tblPr>
      <w:tblGrid>
        <w:gridCol w:w="2489"/>
        <w:gridCol w:w="2445"/>
        <w:gridCol w:w="2445"/>
        <w:gridCol w:w="1909"/>
      </w:tblGrid>
      <w:tr w:rsidR="007D140F" w14:paraId="44037CCA" w14:textId="066F7267" w:rsidTr="003D187D">
        <w:tc>
          <w:tcPr>
            <w:tcW w:w="2489" w:type="dxa"/>
            <w:shd w:val="clear" w:color="auto" w:fill="808080" w:themeFill="background1" w:themeFillShade="80"/>
            <w:vAlign w:val="center"/>
          </w:tcPr>
          <w:p w14:paraId="7E1F78AE" w14:textId="77777777" w:rsidR="007D140F" w:rsidRPr="003D187D" w:rsidRDefault="007D140F" w:rsidP="003D187D">
            <w:pPr>
              <w:jc w:val="center"/>
              <w:rPr>
                <w:b/>
                <w:i/>
                <w:iCs/>
              </w:rPr>
            </w:pPr>
          </w:p>
        </w:tc>
        <w:tc>
          <w:tcPr>
            <w:tcW w:w="2445" w:type="dxa"/>
            <w:shd w:val="clear" w:color="auto" w:fill="808080" w:themeFill="background1" w:themeFillShade="80"/>
            <w:vAlign w:val="center"/>
          </w:tcPr>
          <w:p w14:paraId="1865B681" w14:textId="7849BE85" w:rsidR="007D140F" w:rsidRPr="003D187D" w:rsidRDefault="007D140F" w:rsidP="003D187D">
            <w:pPr>
              <w:jc w:val="center"/>
              <w:rPr>
                <w:b/>
                <w:i/>
                <w:iCs/>
              </w:rPr>
            </w:pPr>
            <w:r w:rsidRPr="003D187D">
              <w:rPr>
                <w:b/>
                <w:i/>
                <w:iCs/>
              </w:rPr>
              <w:t>Počet zamestnancov pred zmenou</w:t>
            </w:r>
          </w:p>
        </w:tc>
        <w:tc>
          <w:tcPr>
            <w:tcW w:w="2445" w:type="dxa"/>
            <w:shd w:val="clear" w:color="auto" w:fill="808080" w:themeFill="background1" w:themeFillShade="80"/>
            <w:vAlign w:val="center"/>
          </w:tcPr>
          <w:p w14:paraId="1117401E" w14:textId="455F9596" w:rsidR="007D140F" w:rsidRPr="003D187D" w:rsidRDefault="007D140F" w:rsidP="003D187D">
            <w:pPr>
              <w:jc w:val="center"/>
              <w:rPr>
                <w:b/>
                <w:i/>
                <w:iCs/>
              </w:rPr>
            </w:pPr>
            <w:r w:rsidRPr="003D187D">
              <w:rPr>
                <w:b/>
                <w:i/>
                <w:iCs/>
              </w:rPr>
              <w:t>Nárast počtu zamestnancov v dôsledku zmeny</w:t>
            </w:r>
          </w:p>
        </w:tc>
        <w:tc>
          <w:tcPr>
            <w:tcW w:w="1909" w:type="dxa"/>
            <w:shd w:val="clear" w:color="auto" w:fill="808080" w:themeFill="background1" w:themeFillShade="80"/>
            <w:vAlign w:val="center"/>
          </w:tcPr>
          <w:p w14:paraId="7C849608" w14:textId="2D51BAAB" w:rsidR="007D140F" w:rsidRPr="003D187D" w:rsidRDefault="007D140F" w:rsidP="003D187D">
            <w:pPr>
              <w:jc w:val="center"/>
              <w:rPr>
                <w:b/>
                <w:i/>
                <w:iCs/>
              </w:rPr>
            </w:pPr>
            <w:r w:rsidRPr="003D187D">
              <w:rPr>
                <w:b/>
                <w:i/>
                <w:iCs/>
              </w:rPr>
              <w:t>Celkový počet zamestnancov po zmene</w:t>
            </w:r>
          </w:p>
        </w:tc>
      </w:tr>
      <w:tr w:rsidR="007D140F" w14:paraId="1F7E3F5E" w14:textId="057CAF17" w:rsidTr="003D187D">
        <w:tc>
          <w:tcPr>
            <w:tcW w:w="2489" w:type="dxa"/>
            <w:vAlign w:val="center"/>
          </w:tcPr>
          <w:p w14:paraId="54D72C92" w14:textId="22117DC6" w:rsidR="007D140F" w:rsidRPr="003D187D" w:rsidRDefault="007D140F" w:rsidP="003D187D">
            <w:pPr>
              <w:jc w:val="center"/>
              <w:rPr>
                <w:b/>
              </w:rPr>
            </w:pPr>
            <w:r w:rsidRPr="003D187D">
              <w:rPr>
                <w:b/>
              </w:rPr>
              <w:t>Administratíva</w:t>
            </w:r>
          </w:p>
        </w:tc>
        <w:tc>
          <w:tcPr>
            <w:tcW w:w="2445" w:type="dxa"/>
            <w:vAlign w:val="center"/>
          </w:tcPr>
          <w:p w14:paraId="5DD5B90D" w14:textId="04938AAB" w:rsidR="007D140F" w:rsidRPr="003D187D" w:rsidRDefault="007D140F" w:rsidP="003D187D">
            <w:pPr>
              <w:jc w:val="center"/>
              <w:rPr>
                <w:bCs/>
              </w:rPr>
            </w:pPr>
            <w:r w:rsidRPr="003D187D">
              <w:rPr>
                <w:bCs/>
              </w:rPr>
              <w:t>26</w:t>
            </w:r>
          </w:p>
        </w:tc>
        <w:tc>
          <w:tcPr>
            <w:tcW w:w="2445" w:type="dxa"/>
            <w:vAlign w:val="center"/>
          </w:tcPr>
          <w:p w14:paraId="6B2903A8" w14:textId="34E3A7D9" w:rsidR="007D140F" w:rsidRPr="003D187D" w:rsidRDefault="007D140F" w:rsidP="003D187D">
            <w:pPr>
              <w:jc w:val="center"/>
              <w:rPr>
                <w:bCs/>
              </w:rPr>
            </w:pPr>
            <w:r w:rsidRPr="003D187D">
              <w:rPr>
                <w:bCs/>
              </w:rPr>
              <w:t>40</w:t>
            </w:r>
          </w:p>
        </w:tc>
        <w:tc>
          <w:tcPr>
            <w:tcW w:w="1909" w:type="dxa"/>
            <w:vAlign w:val="center"/>
          </w:tcPr>
          <w:p w14:paraId="1B55B457" w14:textId="0BB9E147" w:rsidR="007D140F" w:rsidRPr="003D187D" w:rsidRDefault="007D140F" w:rsidP="003D187D">
            <w:pPr>
              <w:jc w:val="center"/>
              <w:rPr>
                <w:bCs/>
              </w:rPr>
            </w:pPr>
            <w:r w:rsidRPr="003D187D">
              <w:rPr>
                <w:bCs/>
              </w:rPr>
              <w:t>66</w:t>
            </w:r>
          </w:p>
        </w:tc>
      </w:tr>
      <w:tr w:rsidR="007D140F" w14:paraId="15525519" w14:textId="41F41CCF" w:rsidTr="003D187D">
        <w:tc>
          <w:tcPr>
            <w:tcW w:w="2489" w:type="dxa"/>
            <w:vAlign w:val="center"/>
          </w:tcPr>
          <w:p w14:paraId="5A1B72AE" w14:textId="12800DEA" w:rsidR="007D140F" w:rsidRPr="003D187D" w:rsidRDefault="007D140F" w:rsidP="003D187D">
            <w:pPr>
              <w:jc w:val="center"/>
              <w:rPr>
                <w:b/>
              </w:rPr>
            </w:pPr>
            <w:r w:rsidRPr="003D187D">
              <w:rPr>
                <w:b/>
              </w:rPr>
              <w:t>Výroba</w:t>
            </w:r>
          </w:p>
        </w:tc>
        <w:tc>
          <w:tcPr>
            <w:tcW w:w="2445" w:type="dxa"/>
            <w:vAlign w:val="center"/>
          </w:tcPr>
          <w:p w14:paraId="6A0B73D2" w14:textId="20E7D99B" w:rsidR="007D140F" w:rsidRPr="003D187D" w:rsidRDefault="007D140F" w:rsidP="003D187D">
            <w:pPr>
              <w:jc w:val="center"/>
              <w:rPr>
                <w:bCs/>
              </w:rPr>
            </w:pPr>
            <w:r w:rsidRPr="003D187D">
              <w:rPr>
                <w:bCs/>
              </w:rPr>
              <w:t>77</w:t>
            </w:r>
          </w:p>
        </w:tc>
        <w:tc>
          <w:tcPr>
            <w:tcW w:w="2445" w:type="dxa"/>
            <w:vAlign w:val="center"/>
          </w:tcPr>
          <w:p w14:paraId="54672DBC" w14:textId="7CC7B5E9" w:rsidR="007D140F" w:rsidRPr="003D187D" w:rsidRDefault="007D140F" w:rsidP="003D187D">
            <w:pPr>
              <w:jc w:val="center"/>
              <w:rPr>
                <w:bCs/>
              </w:rPr>
            </w:pPr>
            <w:r w:rsidRPr="003D187D">
              <w:rPr>
                <w:bCs/>
              </w:rPr>
              <w:t>135</w:t>
            </w:r>
          </w:p>
        </w:tc>
        <w:tc>
          <w:tcPr>
            <w:tcW w:w="1909" w:type="dxa"/>
            <w:vAlign w:val="center"/>
          </w:tcPr>
          <w:p w14:paraId="4D021BAC" w14:textId="12325B5B" w:rsidR="007D140F" w:rsidRPr="003D187D" w:rsidRDefault="007D140F" w:rsidP="003D187D">
            <w:pPr>
              <w:jc w:val="center"/>
              <w:rPr>
                <w:bCs/>
              </w:rPr>
            </w:pPr>
            <w:r w:rsidRPr="003D187D">
              <w:rPr>
                <w:bCs/>
              </w:rPr>
              <w:t>212</w:t>
            </w:r>
          </w:p>
        </w:tc>
      </w:tr>
      <w:tr w:rsidR="007D140F" w:rsidRPr="003D187D" w14:paraId="4A6AAD69" w14:textId="77777777" w:rsidTr="003D187D">
        <w:tc>
          <w:tcPr>
            <w:tcW w:w="2489" w:type="dxa"/>
            <w:vAlign w:val="center"/>
          </w:tcPr>
          <w:p w14:paraId="3304A947" w14:textId="06F9D5A5" w:rsidR="007D140F" w:rsidRPr="003D187D" w:rsidRDefault="007D140F" w:rsidP="003D187D">
            <w:pPr>
              <w:jc w:val="center"/>
              <w:rPr>
                <w:b/>
                <w:i/>
                <w:iCs/>
              </w:rPr>
            </w:pPr>
            <w:r w:rsidRPr="003D187D">
              <w:rPr>
                <w:b/>
                <w:i/>
                <w:iCs/>
              </w:rPr>
              <w:t>Spolu</w:t>
            </w:r>
          </w:p>
        </w:tc>
        <w:tc>
          <w:tcPr>
            <w:tcW w:w="2445" w:type="dxa"/>
            <w:vAlign w:val="center"/>
          </w:tcPr>
          <w:p w14:paraId="54DEDE6F" w14:textId="0F8FB2DB" w:rsidR="007D140F" w:rsidRPr="003D187D" w:rsidRDefault="007D140F" w:rsidP="003D187D">
            <w:pPr>
              <w:jc w:val="center"/>
              <w:rPr>
                <w:b/>
                <w:i/>
                <w:iCs/>
              </w:rPr>
            </w:pPr>
            <w:r w:rsidRPr="003D187D">
              <w:rPr>
                <w:b/>
                <w:i/>
                <w:iCs/>
              </w:rPr>
              <w:t>103</w:t>
            </w:r>
          </w:p>
        </w:tc>
        <w:tc>
          <w:tcPr>
            <w:tcW w:w="2445" w:type="dxa"/>
            <w:vAlign w:val="center"/>
          </w:tcPr>
          <w:p w14:paraId="050839C5" w14:textId="28CB33BD" w:rsidR="007D140F" w:rsidRPr="003D187D" w:rsidRDefault="007D140F" w:rsidP="003D187D">
            <w:pPr>
              <w:jc w:val="center"/>
              <w:rPr>
                <w:b/>
                <w:i/>
                <w:iCs/>
              </w:rPr>
            </w:pPr>
            <w:r w:rsidRPr="003D187D">
              <w:rPr>
                <w:b/>
                <w:i/>
                <w:iCs/>
              </w:rPr>
              <w:t>175</w:t>
            </w:r>
          </w:p>
        </w:tc>
        <w:tc>
          <w:tcPr>
            <w:tcW w:w="1909" w:type="dxa"/>
            <w:vAlign w:val="center"/>
          </w:tcPr>
          <w:p w14:paraId="279CEE32" w14:textId="6BCD424B" w:rsidR="007D140F" w:rsidRPr="003D187D" w:rsidRDefault="007D140F" w:rsidP="003D187D">
            <w:pPr>
              <w:jc w:val="center"/>
              <w:rPr>
                <w:b/>
                <w:i/>
                <w:iCs/>
              </w:rPr>
            </w:pPr>
            <w:r w:rsidRPr="003D187D">
              <w:rPr>
                <w:b/>
                <w:i/>
                <w:iCs/>
              </w:rPr>
              <w:t>278</w:t>
            </w:r>
          </w:p>
        </w:tc>
      </w:tr>
    </w:tbl>
    <w:p w14:paraId="35861971" w14:textId="77777777" w:rsidR="008647CC" w:rsidRPr="000C105F" w:rsidRDefault="008647CC" w:rsidP="000C105F">
      <w:pPr>
        <w:rPr>
          <w:b/>
        </w:rPr>
      </w:pPr>
    </w:p>
    <w:p w14:paraId="73E3EA4B" w14:textId="778753D0" w:rsidR="008647CC" w:rsidRDefault="008647CC" w:rsidP="008647CC">
      <w:pPr>
        <w:rPr>
          <w:highlight w:val="yellow"/>
        </w:rPr>
      </w:pPr>
      <w:r>
        <w:t xml:space="preserve">Výroba predstavuje trojzmennú prevádzku so štandardnou dĺžkou pracovnej doby 8 hodín. V pracovných dňoch je teda prevádzka nepretržitá, cez víkend sa nepracuje. Uvedené zodpovedá 251 pracovným dňom za rok, s ohľadom na štátne sviatky. Celkový ročný pracovný fond strojov a zariadení je 8160 hodín. </w:t>
      </w:r>
    </w:p>
    <w:p w14:paraId="6AA26AB1" w14:textId="77777777" w:rsidR="008647CC" w:rsidRDefault="008647CC" w:rsidP="000C105F">
      <w:pPr>
        <w:rPr>
          <w:b/>
        </w:rPr>
      </w:pPr>
    </w:p>
    <w:p w14:paraId="5E8D64C1" w14:textId="4F2789FB" w:rsidR="000C105F" w:rsidRDefault="000C105F" w:rsidP="000C105F">
      <w:pPr>
        <w:rPr>
          <w:b/>
        </w:rPr>
      </w:pPr>
      <w:r w:rsidRPr="000C105F">
        <w:rPr>
          <w:b/>
        </w:rPr>
        <w:t xml:space="preserve">Spotreba vody </w:t>
      </w:r>
    </w:p>
    <w:p w14:paraId="3AE539A0" w14:textId="267189A0" w:rsidR="00304320" w:rsidRPr="007D140F" w:rsidRDefault="00304320" w:rsidP="000C105F">
      <w:r>
        <w:rPr>
          <w:b/>
          <w:bCs/>
          <w:i/>
          <w:iCs/>
        </w:rPr>
        <w:t xml:space="preserve">V čase výstavby </w:t>
      </w:r>
      <w:r>
        <w:t>stavebných objektov a inštalácie potrebného vybavenia bude spotreba pitnej vody viazaná prevažne na spotrebu vody stavebným personálom pre sociálne a pitné účely. Spotreba úžitkovej vody bude v tejto etape významne minimalizovaná, napríklad preferovaním dovozu mokrých zmesí (betónov), využitím prefabrikátov a pod.. Zariadenia samotnej technológie budú dodávané vo forme jednotlivých komponentov a montované priamo na mieste, pričom si ich inštalácia nebude vyžadovať spotrebu vody nad bežný rámec. Priemerná denná potreba úžitkovej vody pre účely výstavby sa tak bude meniť aj v závislosti na etape realizácie.</w:t>
      </w:r>
    </w:p>
    <w:p w14:paraId="39117414" w14:textId="79E377A2" w:rsidR="003B48A9" w:rsidRPr="007D140F" w:rsidRDefault="008647CC" w:rsidP="007D140F">
      <w:pPr>
        <w:rPr>
          <w:bCs/>
        </w:rPr>
      </w:pPr>
      <w:r w:rsidRPr="008647CC">
        <w:rPr>
          <w:bCs/>
        </w:rPr>
        <w:t xml:space="preserve">V technologickom zariadení je voda využívaná na chladenie. Táto je </w:t>
      </w:r>
      <w:proofErr w:type="spellStart"/>
      <w:r w:rsidRPr="008647CC">
        <w:rPr>
          <w:bCs/>
        </w:rPr>
        <w:t>recirkulovaná</w:t>
      </w:r>
      <w:proofErr w:type="spellEnd"/>
      <w:r w:rsidRPr="008647CC">
        <w:rPr>
          <w:bCs/>
        </w:rPr>
        <w:t xml:space="preserve"> a využívaná opätovne, nekladie teda nároky na </w:t>
      </w:r>
      <w:r w:rsidR="007D140F">
        <w:rPr>
          <w:bCs/>
        </w:rPr>
        <w:t xml:space="preserve">kontinuálnu </w:t>
      </w:r>
      <w:r w:rsidRPr="008647CC">
        <w:rPr>
          <w:bCs/>
        </w:rPr>
        <w:t xml:space="preserve">spotrebu vody, </w:t>
      </w:r>
      <w:r w:rsidR="007D140F">
        <w:rPr>
          <w:bCs/>
        </w:rPr>
        <w:t>iba na</w:t>
      </w:r>
      <w:r w:rsidRPr="008647CC">
        <w:rPr>
          <w:bCs/>
        </w:rPr>
        <w:t xml:space="preserve"> priebežné doplňovani</w:t>
      </w:r>
      <w:r w:rsidR="007D140F">
        <w:rPr>
          <w:bCs/>
        </w:rPr>
        <w:t>e</w:t>
      </w:r>
      <w:r w:rsidRPr="008647CC">
        <w:rPr>
          <w:bCs/>
        </w:rPr>
        <w:t xml:space="preserve"> malých množstiev.</w:t>
      </w:r>
    </w:p>
    <w:p w14:paraId="404F6C5F" w14:textId="354A9480" w:rsidR="00304320" w:rsidRDefault="00304320" w:rsidP="00304320">
      <w:pPr>
        <w:autoSpaceDE w:val="0"/>
        <w:autoSpaceDN w:val="0"/>
        <w:adjustRightInd w:val="0"/>
        <w:rPr>
          <w:rFonts w:cs="Arial"/>
        </w:rPr>
      </w:pPr>
      <w:r>
        <w:rPr>
          <w:rFonts w:cs="Arial"/>
        </w:rPr>
        <w:t>Sociálne zariadenia a voda na pitné účely bude zabezpečená pripojením na existujúce rozvody v pôvodnej budove. Predpokladané navýšenie počtu zamestnancov spôsobí taktiež navýšenie množstva spotrebovanej vody. Celkový predpokladaný počet pracovných miest ktoré budú navrhovanou zmenou vytvorené je 1</w:t>
      </w:r>
      <w:r w:rsidR="007D140F">
        <w:rPr>
          <w:rFonts w:cs="Arial"/>
        </w:rPr>
        <w:t>75</w:t>
      </w:r>
      <w:r>
        <w:rPr>
          <w:rFonts w:cs="Arial"/>
        </w:rPr>
        <w:t>, čo predstavuje navýšenie spotreby vody</w:t>
      </w:r>
      <w:r w:rsidR="007D140F">
        <w:rPr>
          <w:rFonts w:cs="Arial"/>
        </w:rPr>
        <w:t xml:space="preserve"> na pitie</w:t>
      </w:r>
      <w:r>
        <w:rPr>
          <w:rFonts w:cs="Arial"/>
        </w:rPr>
        <w:t xml:space="preserve"> cca o </w:t>
      </w:r>
      <w:r w:rsidR="008034C0">
        <w:rPr>
          <w:rFonts w:cs="Arial"/>
        </w:rPr>
        <w:t>875</w:t>
      </w:r>
      <w:r>
        <w:rPr>
          <w:rFonts w:cs="Arial"/>
        </w:rPr>
        <w:t xml:space="preserve"> m</w:t>
      </w:r>
      <w:r w:rsidRPr="0039554C">
        <w:rPr>
          <w:rFonts w:cs="Arial"/>
          <w:vertAlign w:val="superscript"/>
        </w:rPr>
        <w:t>3</w:t>
      </w:r>
      <w:r>
        <w:rPr>
          <w:rFonts w:cs="Arial"/>
        </w:rPr>
        <w:t xml:space="preserve"> ročne oproti súčasnému stavu.</w:t>
      </w:r>
    </w:p>
    <w:p w14:paraId="41FD465D" w14:textId="77777777" w:rsidR="00304320" w:rsidRDefault="00304320" w:rsidP="00304320">
      <w:pPr>
        <w:rPr>
          <w:highlight w:val="yellow"/>
        </w:rPr>
      </w:pPr>
    </w:p>
    <w:p w14:paraId="2C813886" w14:textId="18F4596D" w:rsidR="00304320" w:rsidRDefault="00304320" w:rsidP="00304320">
      <w:pPr>
        <w:pStyle w:val="Popis"/>
        <w:keepNext/>
        <w:jc w:val="left"/>
      </w:pPr>
      <w:bookmarkStart w:id="13" w:name="_Toc30497428"/>
      <w:r>
        <w:t xml:space="preserve">Tab. </w:t>
      </w:r>
      <w:r>
        <w:fldChar w:fldCharType="begin"/>
      </w:r>
      <w:r>
        <w:instrText xml:space="preserve"> SEQ Tab. \* ARABIC </w:instrText>
      </w:r>
      <w:r>
        <w:fldChar w:fldCharType="separate"/>
      </w:r>
      <w:r w:rsidR="00467FCC">
        <w:rPr>
          <w:noProof/>
        </w:rPr>
        <w:t>4</w:t>
      </w:r>
      <w:r>
        <w:fldChar w:fldCharType="end"/>
      </w:r>
      <w:r>
        <w:t xml:space="preserve"> - Približné ú</w:t>
      </w:r>
      <w:r w:rsidRPr="007C39F6">
        <w:t xml:space="preserve">daje o spotrebe vody pre pitné, sociálne a hygienické účely </w:t>
      </w:r>
      <w:r>
        <w:t>pre zamestnancov pred realizáciou zmeny činnosti</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90"/>
        <w:gridCol w:w="2253"/>
        <w:gridCol w:w="2246"/>
      </w:tblGrid>
      <w:tr w:rsidR="00304320" w:rsidRPr="007C39F6" w14:paraId="37AA60C5" w14:textId="77777777" w:rsidTr="008C01F0">
        <w:trPr>
          <w:tblHeader/>
        </w:trPr>
        <w:tc>
          <w:tcPr>
            <w:tcW w:w="2273" w:type="dxa"/>
            <w:shd w:val="clear" w:color="auto" w:fill="808080" w:themeFill="background1" w:themeFillShade="80"/>
            <w:vAlign w:val="center"/>
          </w:tcPr>
          <w:p w14:paraId="7462453E" w14:textId="77777777" w:rsidR="00304320" w:rsidRPr="007C39F6" w:rsidRDefault="00304320" w:rsidP="008C01F0">
            <w:pPr>
              <w:jc w:val="center"/>
              <w:rPr>
                <w:rFonts w:cs="Calibri"/>
                <w:b/>
              </w:rPr>
            </w:pPr>
            <w:r w:rsidRPr="007C39F6">
              <w:rPr>
                <w:rFonts w:cs="Calibri"/>
                <w:b/>
              </w:rPr>
              <w:t>Pracovníci</w:t>
            </w:r>
          </w:p>
        </w:tc>
        <w:tc>
          <w:tcPr>
            <w:tcW w:w="2290" w:type="dxa"/>
            <w:shd w:val="clear" w:color="auto" w:fill="808080" w:themeFill="background1" w:themeFillShade="80"/>
            <w:vAlign w:val="center"/>
          </w:tcPr>
          <w:p w14:paraId="7907502F" w14:textId="77777777" w:rsidR="00304320" w:rsidRPr="007C39F6" w:rsidRDefault="00304320" w:rsidP="008C01F0">
            <w:pPr>
              <w:jc w:val="center"/>
              <w:rPr>
                <w:rFonts w:cs="Calibri"/>
                <w:b/>
              </w:rPr>
            </w:pPr>
            <w:r w:rsidRPr="007C39F6">
              <w:rPr>
                <w:rFonts w:cs="Calibri"/>
                <w:b/>
              </w:rPr>
              <w:t>Počet pracovníkov/deň</w:t>
            </w:r>
          </w:p>
        </w:tc>
        <w:tc>
          <w:tcPr>
            <w:tcW w:w="2253" w:type="dxa"/>
            <w:shd w:val="clear" w:color="auto" w:fill="808080" w:themeFill="background1" w:themeFillShade="80"/>
            <w:vAlign w:val="center"/>
          </w:tcPr>
          <w:p w14:paraId="289C143C" w14:textId="77777777" w:rsidR="00304320" w:rsidRPr="007C39F6" w:rsidRDefault="00304320" w:rsidP="008C01F0">
            <w:pPr>
              <w:jc w:val="center"/>
              <w:rPr>
                <w:rFonts w:cs="Calibri"/>
                <w:b/>
              </w:rPr>
            </w:pPr>
            <w:r w:rsidRPr="007C39F6">
              <w:rPr>
                <w:rFonts w:cs="Calibri"/>
                <w:b/>
              </w:rPr>
              <w:t>Špecifická spotreba vody na jednu osobu (l/deň)</w:t>
            </w:r>
          </w:p>
        </w:tc>
        <w:tc>
          <w:tcPr>
            <w:tcW w:w="2246" w:type="dxa"/>
            <w:shd w:val="clear" w:color="auto" w:fill="808080" w:themeFill="background1" w:themeFillShade="80"/>
            <w:vAlign w:val="center"/>
          </w:tcPr>
          <w:p w14:paraId="06C110B3" w14:textId="77777777" w:rsidR="00304320" w:rsidRPr="007C39F6" w:rsidRDefault="00304320" w:rsidP="008C01F0">
            <w:pPr>
              <w:jc w:val="center"/>
              <w:rPr>
                <w:rFonts w:cs="Calibri"/>
                <w:b/>
              </w:rPr>
            </w:pPr>
            <w:r w:rsidRPr="007C39F6">
              <w:rPr>
                <w:rFonts w:cs="Calibri"/>
                <w:b/>
              </w:rPr>
              <w:t>Spotreba vody (l/deň)</w:t>
            </w:r>
          </w:p>
        </w:tc>
      </w:tr>
      <w:tr w:rsidR="00304320" w:rsidRPr="007C39F6" w14:paraId="48FC949D" w14:textId="77777777" w:rsidTr="008C01F0">
        <w:tc>
          <w:tcPr>
            <w:tcW w:w="2273" w:type="dxa"/>
            <w:vAlign w:val="center"/>
          </w:tcPr>
          <w:p w14:paraId="1E4F32D2" w14:textId="4F6C6C27" w:rsidR="00304320" w:rsidRPr="007C39F6" w:rsidRDefault="00304320" w:rsidP="008C01F0">
            <w:pPr>
              <w:jc w:val="center"/>
              <w:rPr>
                <w:rFonts w:cs="Calibri"/>
              </w:rPr>
            </w:pPr>
            <w:bookmarkStart w:id="14" w:name="_Hlk30500396"/>
            <w:r>
              <w:rPr>
                <w:rFonts w:cs="Calibri"/>
              </w:rPr>
              <w:t>Pracovníci prevádzky</w:t>
            </w:r>
            <w:r w:rsidR="007D140F">
              <w:rPr>
                <w:rFonts w:cs="Calibri"/>
              </w:rPr>
              <w:t xml:space="preserve"> (výrobná časť)</w:t>
            </w:r>
            <w:bookmarkEnd w:id="14"/>
          </w:p>
        </w:tc>
        <w:tc>
          <w:tcPr>
            <w:tcW w:w="2290" w:type="dxa"/>
            <w:vAlign w:val="center"/>
          </w:tcPr>
          <w:p w14:paraId="5F5D602E" w14:textId="24E65AA0" w:rsidR="00304320" w:rsidRPr="007C39F6" w:rsidRDefault="007D140F" w:rsidP="008C01F0">
            <w:pPr>
              <w:jc w:val="center"/>
              <w:rPr>
                <w:rFonts w:cs="Calibri"/>
              </w:rPr>
            </w:pPr>
            <w:r>
              <w:rPr>
                <w:rFonts w:cs="Calibri"/>
              </w:rPr>
              <w:t>77</w:t>
            </w:r>
          </w:p>
        </w:tc>
        <w:tc>
          <w:tcPr>
            <w:tcW w:w="2253" w:type="dxa"/>
            <w:vAlign w:val="center"/>
          </w:tcPr>
          <w:p w14:paraId="1C3F9FE7" w14:textId="77777777" w:rsidR="00304320" w:rsidRPr="007C39F6" w:rsidRDefault="00304320" w:rsidP="008C01F0">
            <w:pPr>
              <w:jc w:val="center"/>
              <w:rPr>
                <w:rFonts w:cs="Calibri"/>
              </w:rPr>
            </w:pPr>
            <w:r w:rsidRPr="007C39F6">
              <w:rPr>
                <w:rFonts w:cs="Calibri"/>
              </w:rPr>
              <w:t>120</w:t>
            </w:r>
          </w:p>
        </w:tc>
        <w:tc>
          <w:tcPr>
            <w:tcW w:w="2246" w:type="dxa"/>
            <w:vAlign w:val="center"/>
          </w:tcPr>
          <w:p w14:paraId="4FE61691" w14:textId="4210805C" w:rsidR="00304320" w:rsidRPr="007C39F6" w:rsidRDefault="007D140F" w:rsidP="008C01F0">
            <w:pPr>
              <w:jc w:val="center"/>
              <w:rPr>
                <w:rFonts w:cs="Calibri"/>
              </w:rPr>
            </w:pPr>
            <w:r>
              <w:rPr>
                <w:rFonts w:cs="Calibri"/>
              </w:rPr>
              <w:t>9 260</w:t>
            </w:r>
          </w:p>
        </w:tc>
      </w:tr>
      <w:tr w:rsidR="007D140F" w:rsidRPr="007C39F6" w14:paraId="0F15BE13" w14:textId="77777777" w:rsidTr="008C01F0">
        <w:tc>
          <w:tcPr>
            <w:tcW w:w="2273" w:type="dxa"/>
            <w:vAlign w:val="center"/>
          </w:tcPr>
          <w:p w14:paraId="77ADF6AC" w14:textId="3ECC2A0A" w:rsidR="007D140F" w:rsidRDefault="007D140F" w:rsidP="008C01F0">
            <w:pPr>
              <w:jc w:val="center"/>
              <w:rPr>
                <w:rFonts w:cs="Calibri"/>
              </w:rPr>
            </w:pPr>
            <w:r>
              <w:rPr>
                <w:rFonts w:cs="Calibri"/>
              </w:rPr>
              <w:t>Pracovníci prevádzky (nevýrobná časť)</w:t>
            </w:r>
          </w:p>
        </w:tc>
        <w:tc>
          <w:tcPr>
            <w:tcW w:w="2290" w:type="dxa"/>
            <w:vAlign w:val="center"/>
          </w:tcPr>
          <w:p w14:paraId="67DD0D75" w14:textId="3A343E71" w:rsidR="007D140F" w:rsidRDefault="007D140F" w:rsidP="008C01F0">
            <w:pPr>
              <w:jc w:val="center"/>
              <w:rPr>
                <w:rFonts w:cs="Calibri"/>
              </w:rPr>
            </w:pPr>
            <w:r>
              <w:rPr>
                <w:rFonts w:cs="Calibri"/>
              </w:rPr>
              <w:t>26</w:t>
            </w:r>
          </w:p>
        </w:tc>
        <w:tc>
          <w:tcPr>
            <w:tcW w:w="2253" w:type="dxa"/>
            <w:vAlign w:val="center"/>
          </w:tcPr>
          <w:p w14:paraId="265A2DC7" w14:textId="6F0B4BF0" w:rsidR="007D140F" w:rsidRPr="007C39F6" w:rsidRDefault="007D140F" w:rsidP="008C01F0">
            <w:pPr>
              <w:jc w:val="center"/>
              <w:rPr>
                <w:rFonts w:cs="Calibri"/>
              </w:rPr>
            </w:pPr>
            <w:r>
              <w:rPr>
                <w:rFonts w:cs="Calibri"/>
              </w:rPr>
              <w:t>60</w:t>
            </w:r>
          </w:p>
        </w:tc>
        <w:tc>
          <w:tcPr>
            <w:tcW w:w="2246" w:type="dxa"/>
            <w:vAlign w:val="center"/>
          </w:tcPr>
          <w:p w14:paraId="6C9AF0D3" w14:textId="6FE868FC" w:rsidR="007D140F" w:rsidRDefault="007D140F" w:rsidP="008C01F0">
            <w:pPr>
              <w:jc w:val="center"/>
              <w:rPr>
                <w:rFonts w:cs="Calibri"/>
              </w:rPr>
            </w:pPr>
            <w:r>
              <w:rPr>
                <w:rFonts w:cs="Calibri"/>
              </w:rPr>
              <w:t>1 560</w:t>
            </w:r>
          </w:p>
        </w:tc>
      </w:tr>
      <w:tr w:rsidR="00304320" w:rsidRPr="007C39F6" w14:paraId="6FAFDA96" w14:textId="77777777" w:rsidTr="008C01F0">
        <w:tc>
          <w:tcPr>
            <w:tcW w:w="2273" w:type="dxa"/>
            <w:vAlign w:val="center"/>
          </w:tcPr>
          <w:p w14:paraId="1CDE2002" w14:textId="77777777" w:rsidR="00304320" w:rsidRPr="007C39F6" w:rsidRDefault="00304320" w:rsidP="008C01F0">
            <w:pPr>
              <w:jc w:val="center"/>
              <w:rPr>
                <w:rFonts w:cs="Calibri"/>
              </w:rPr>
            </w:pPr>
            <w:r w:rsidRPr="007C39F6">
              <w:rPr>
                <w:rFonts w:cs="Calibri"/>
              </w:rPr>
              <w:t>Voda na pitie</w:t>
            </w:r>
          </w:p>
        </w:tc>
        <w:tc>
          <w:tcPr>
            <w:tcW w:w="2290" w:type="dxa"/>
            <w:vAlign w:val="center"/>
          </w:tcPr>
          <w:p w14:paraId="107E9F75" w14:textId="27D2F28A" w:rsidR="00304320" w:rsidRPr="007C39F6" w:rsidRDefault="007D140F" w:rsidP="008C01F0">
            <w:pPr>
              <w:jc w:val="center"/>
              <w:rPr>
                <w:rFonts w:cs="Calibri"/>
              </w:rPr>
            </w:pPr>
            <w:r>
              <w:rPr>
                <w:rFonts w:cs="Calibri"/>
              </w:rPr>
              <w:t>103</w:t>
            </w:r>
          </w:p>
        </w:tc>
        <w:tc>
          <w:tcPr>
            <w:tcW w:w="2253" w:type="dxa"/>
            <w:vAlign w:val="center"/>
          </w:tcPr>
          <w:p w14:paraId="64B7FDDB" w14:textId="77777777" w:rsidR="00304320" w:rsidRPr="007C39F6" w:rsidRDefault="00304320" w:rsidP="008C01F0">
            <w:pPr>
              <w:jc w:val="center"/>
              <w:rPr>
                <w:rFonts w:cs="Calibri"/>
              </w:rPr>
            </w:pPr>
            <w:r w:rsidRPr="007C39F6">
              <w:rPr>
                <w:rFonts w:cs="Calibri"/>
              </w:rPr>
              <w:t>5</w:t>
            </w:r>
          </w:p>
        </w:tc>
        <w:tc>
          <w:tcPr>
            <w:tcW w:w="2246" w:type="dxa"/>
            <w:vAlign w:val="center"/>
          </w:tcPr>
          <w:p w14:paraId="019296CD" w14:textId="153A31C9" w:rsidR="00304320" w:rsidRPr="007C39F6" w:rsidRDefault="007D140F" w:rsidP="008C01F0">
            <w:pPr>
              <w:jc w:val="center"/>
              <w:rPr>
                <w:rFonts w:cs="Calibri"/>
              </w:rPr>
            </w:pPr>
            <w:r>
              <w:rPr>
                <w:rFonts w:cs="Calibri"/>
              </w:rPr>
              <w:t>515</w:t>
            </w:r>
          </w:p>
        </w:tc>
      </w:tr>
      <w:tr w:rsidR="00304320" w:rsidRPr="007C39F6" w14:paraId="2E80FA94" w14:textId="77777777" w:rsidTr="008C01F0">
        <w:tc>
          <w:tcPr>
            <w:tcW w:w="2273" w:type="dxa"/>
            <w:vAlign w:val="center"/>
          </w:tcPr>
          <w:p w14:paraId="48619B76" w14:textId="77777777" w:rsidR="00304320" w:rsidRPr="007C39F6" w:rsidRDefault="00304320" w:rsidP="008C01F0">
            <w:pPr>
              <w:jc w:val="center"/>
              <w:rPr>
                <w:rFonts w:cs="Calibri"/>
              </w:rPr>
            </w:pPr>
            <w:r w:rsidRPr="007C39F6">
              <w:rPr>
                <w:rFonts w:cs="Calibri"/>
              </w:rPr>
              <w:t>Spolu</w:t>
            </w:r>
          </w:p>
        </w:tc>
        <w:tc>
          <w:tcPr>
            <w:tcW w:w="2290" w:type="dxa"/>
            <w:vAlign w:val="center"/>
          </w:tcPr>
          <w:p w14:paraId="6395E3B1" w14:textId="77777777" w:rsidR="00304320" w:rsidRPr="007C39F6" w:rsidRDefault="00304320" w:rsidP="008C01F0">
            <w:pPr>
              <w:jc w:val="center"/>
              <w:rPr>
                <w:rFonts w:cs="Calibri"/>
              </w:rPr>
            </w:pPr>
          </w:p>
        </w:tc>
        <w:tc>
          <w:tcPr>
            <w:tcW w:w="2253" w:type="dxa"/>
            <w:vAlign w:val="center"/>
          </w:tcPr>
          <w:p w14:paraId="084CF7BD" w14:textId="77777777" w:rsidR="00304320" w:rsidRPr="007C39F6" w:rsidRDefault="00304320" w:rsidP="008C01F0">
            <w:pPr>
              <w:jc w:val="center"/>
              <w:rPr>
                <w:rFonts w:cs="Calibri"/>
              </w:rPr>
            </w:pPr>
          </w:p>
        </w:tc>
        <w:tc>
          <w:tcPr>
            <w:tcW w:w="2246" w:type="dxa"/>
            <w:vAlign w:val="center"/>
          </w:tcPr>
          <w:p w14:paraId="0BC8B97F" w14:textId="7B0E5539" w:rsidR="00304320" w:rsidRPr="007C39F6" w:rsidRDefault="007D140F" w:rsidP="008C01F0">
            <w:pPr>
              <w:jc w:val="center"/>
              <w:rPr>
                <w:rFonts w:cs="Calibri"/>
                <w:b/>
              </w:rPr>
            </w:pPr>
            <w:r>
              <w:rPr>
                <w:rFonts w:cs="Calibri"/>
                <w:b/>
              </w:rPr>
              <w:t>11 335</w:t>
            </w:r>
          </w:p>
        </w:tc>
      </w:tr>
      <w:tr w:rsidR="00304320" w:rsidRPr="007C39F6" w14:paraId="5EB941A2" w14:textId="77777777" w:rsidTr="008C01F0">
        <w:tc>
          <w:tcPr>
            <w:tcW w:w="6816" w:type="dxa"/>
            <w:gridSpan w:val="3"/>
            <w:vAlign w:val="center"/>
          </w:tcPr>
          <w:p w14:paraId="2519D782" w14:textId="77777777" w:rsidR="00304320" w:rsidRPr="00EC5A87" w:rsidRDefault="00304320" w:rsidP="008C01F0">
            <w:pPr>
              <w:jc w:val="center"/>
              <w:rPr>
                <w:rFonts w:cs="Calibri"/>
                <w:b/>
                <w:bCs/>
              </w:rPr>
            </w:pPr>
            <w:r w:rsidRPr="00EC5A87">
              <w:rPr>
                <w:rFonts w:cs="Calibri"/>
                <w:b/>
                <w:bCs/>
              </w:rPr>
              <w:t>Približná ročná spotreba vody pre zamestnancov</w:t>
            </w:r>
            <w:r>
              <w:rPr>
                <w:rFonts w:cs="Calibri"/>
                <w:b/>
                <w:bCs/>
              </w:rPr>
              <w:t xml:space="preserve"> – súčasný stav</w:t>
            </w:r>
          </w:p>
        </w:tc>
        <w:tc>
          <w:tcPr>
            <w:tcW w:w="2246" w:type="dxa"/>
            <w:vAlign w:val="center"/>
          </w:tcPr>
          <w:p w14:paraId="6B6D6499" w14:textId="6CE6A08D" w:rsidR="00304320" w:rsidRPr="007C39F6" w:rsidRDefault="00304320" w:rsidP="008C01F0">
            <w:pPr>
              <w:jc w:val="center"/>
              <w:rPr>
                <w:rFonts w:cs="Calibri"/>
                <w:b/>
              </w:rPr>
            </w:pPr>
            <w:r>
              <w:rPr>
                <w:rFonts w:cs="Calibri"/>
                <w:b/>
              </w:rPr>
              <w:t xml:space="preserve">Cca </w:t>
            </w:r>
            <w:r w:rsidR="007D140F">
              <w:rPr>
                <w:rFonts w:cs="Calibri"/>
                <w:b/>
              </w:rPr>
              <w:t>2</w:t>
            </w:r>
            <w:r w:rsidR="008034C0">
              <w:rPr>
                <w:rFonts w:cs="Calibri"/>
                <w:b/>
              </w:rPr>
              <w:t xml:space="preserve"> </w:t>
            </w:r>
            <w:r w:rsidR="007D140F">
              <w:rPr>
                <w:rFonts w:cs="Calibri"/>
                <w:b/>
              </w:rPr>
              <w:t>845</w:t>
            </w:r>
            <w:r>
              <w:rPr>
                <w:rFonts w:cs="Calibri"/>
                <w:b/>
              </w:rPr>
              <w:t xml:space="preserve"> m</w:t>
            </w:r>
            <w:r w:rsidRPr="00EC5A87">
              <w:rPr>
                <w:rFonts w:cs="Calibri"/>
                <w:b/>
                <w:vertAlign w:val="superscript"/>
              </w:rPr>
              <w:t>3</w:t>
            </w:r>
          </w:p>
        </w:tc>
      </w:tr>
    </w:tbl>
    <w:p w14:paraId="60C13F40" w14:textId="78C4B3EA" w:rsidR="004A2F27" w:rsidRDefault="004A2F27" w:rsidP="00304320">
      <w:pPr>
        <w:rPr>
          <w:highlight w:val="yellow"/>
        </w:rPr>
      </w:pPr>
    </w:p>
    <w:p w14:paraId="2D3719B6" w14:textId="35E21EC7" w:rsidR="00E02A01" w:rsidRDefault="00E02A01" w:rsidP="00304320">
      <w:pPr>
        <w:rPr>
          <w:highlight w:val="yellow"/>
        </w:rPr>
      </w:pPr>
    </w:p>
    <w:p w14:paraId="3EC392F5" w14:textId="08771880" w:rsidR="00E02A01" w:rsidRDefault="00E02A01" w:rsidP="00304320">
      <w:pPr>
        <w:rPr>
          <w:highlight w:val="yellow"/>
        </w:rPr>
      </w:pPr>
    </w:p>
    <w:p w14:paraId="566696E1" w14:textId="77777777" w:rsidR="00E02A01" w:rsidRPr="00B272D8" w:rsidRDefault="00E02A01" w:rsidP="00304320">
      <w:pPr>
        <w:rPr>
          <w:highlight w:val="yellow"/>
        </w:rPr>
      </w:pPr>
    </w:p>
    <w:p w14:paraId="3534D5EA" w14:textId="434611F9" w:rsidR="008034C0" w:rsidRDefault="00304320" w:rsidP="008034C0">
      <w:pPr>
        <w:pStyle w:val="Popis"/>
        <w:keepNext/>
        <w:jc w:val="left"/>
      </w:pPr>
      <w:bookmarkStart w:id="15" w:name="_Toc30497429"/>
      <w:r>
        <w:lastRenderedPageBreak/>
        <w:t xml:space="preserve">Tab. </w:t>
      </w:r>
      <w:r>
        <w:fldChar w:fldCharType="begin"/>
      </w:r>
      <w:r>
        <w:instrText xml:space="preserve"> SEQ Tab. \* ARABIC </w:instrText>
      </w:r>
      <w:r>
        <w:fldChar w:fldCharType="separate"/>
      </w:r>
      <w:r w:rsidR="00467FCC">
        <w:rPr>
          <w:noProof/>
        </w:rPr>
        <w:t>5</w:t>
      </w:r>
      <w:r>
        <w:fldChar w:fldCharType="end"/>
      </w:r>
      <w:r>
        <w:t xml:space="preserve"> - </w:t>
      </w:r>
      <w:r w:rsidRPr="007C39F6">
        <w:t xml:space="preserve">Údaje o spotrebe vody pre pitné, sociálne a hygienické účely </w:t>
      </w:r>
      <w:r>
        <w:t>pre zamestnancov ktorí pribudnú v dôsledku zmeny navrhovanej činnosti</w:t>
      </w:r>
      <w:bookmarkStart w:id="16" w:name="_Toc30497430"/>
      <w:bookmarkEnd w:id="15"/>
      <w:r w:rsidR="008034C0" w:rsidRPr="008034C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90"/>
        <w:gridCol w:w="2253"/>
        <w:gridCol w:w="2246"/>
      </w:tblGrid>
      <w:tr w:rsidR="008034C0" w:rsidRPr="007C39F6" w14:paraId="6D0E2B65" w14:textId="77777777" w:rsidTr="00096356">
        <w:trPr>
          <w:tblHeader/>
        </w:trPr>
        <w:tc>
          <w:tcPr>
            <w:tcW w:w="2273" w:type="dxa"/>
            <w:shd w:val="clear" w:color="auto" w:fill="808080" w:themeFill="background1" w:themeFillShade="80"/>
            <w:vAlign w:val="center"/>
          </w:tcPr>
          <w:p w14:paraId="46FF38AA" w14:textId="77777777" w:rsidR="008034C0" w:rsidRPr="007C39F6" w:rsidRDefault="008034C0" w:rsidP="00096356">
            <w:pPr>
              <w:jc w:val="center"/>
              <w:rPr>
                <w:rFonts w:cs="Calibri"/>
                <w:b/>
              </w:rPr>
            </w:pPr>
            <w:r w:rsidRPr="007C39F6">
              <w:rPr>
                <w:rFonts w:cs="Calibri"/>
                <w:b/>
              </w:rPr>
              <w:t>Pracovníci</w:t>
            </w:r>
          </w:p>
        </w:tc>
        <w:tc>
          <w:tcPr>
            <w:tcW w:w="2290" w:type="dxa"/>
            <w:shd w:val="clear" w:color="auto" w:fill="808080" w:themeFill="background1" w:themeFillShade="80"/>
            <w:vAlign w:val="center"/>
          </w:tcPr>
          <w:p w14:paraId="482DB69C" w14:textId="77777777" w:rsidR="008034C0" w:rsidRPr="007C39F6" w:rsidRDefault="008034C0" w:rsidP="00096356">
            <w:pPr>
              <w:jc w:val="center"/>
              <w:rPr>
                <w:rFonts w:cs="Calibri"/>
                <w:b/>
              </w:rPr>
            </w:pPr>
            <w:r w:rsidRPr="007C39F6">
              <w:rPr>
                <w:rFonts w:cs="Calibri"/>
                <w:b/>
              </w:rPr>
              <w:t>Počet pracovníkov/deň</w:t>
            </w:r>
          </w:p>
        </w:tc>
        <w:tc>
          <w:tcPr>
            <w:tcW w:w="2253" w:type="dxa"/>
            <w:shd w:val="clear" w:color="auto" w:fill="808080" w:themeFill="background1" w:themeFillShade="80"/>
            <w:vAlign w:val="center"/>
          </w:tcPr>
          <w:p w14:paraId="1CC36B3F" w14:textId="77777777" w:rsidR="008034C0" w:rsidRPr="007C39F6" w:rsidRDefault="008034C0" w:rsidP="00096356">
            <w:pPr>
              <w:jc w:val="center"/>
              <w:rPr>
                <w:rFonts w:cs="Calibri"/>
                <w:b/>
              </w:rPr>
            </w:pPr>
            <w:r w:rsidRPr="007C39F6">
              <w:rPr>
                <w:rFonts w:cs="Calibri"/>
                <w:b/>
              </w:rPr>
              <w:t>Špecifická spotreba vody na jednu osobu (l/deň)</w:t>
            </w:r>
          </w:p>
        </w:tc>
        <w:tc>
          <w:tcPr>
            <w:tcW w:w="2246" w:type="dxa"/>
            <w:shd w:val="clear" w:color="auto" w:fill="808080" w:themeFill="background1" w:themeFillShade="80"/>
            <w:vAlign w:val="center"/>
          </w:tcPr>
          <w:p w14:paraId="0FF60AEF" w14:textId="77777777" w:rsidR="008034C0" w:rsidRPr="007C39F6" w:rsidRDefault="008034C0" w:rsidP="00096356">
            <w:pPr>
              <w:jc w:val="center"/>
              <w:rPr>
                <w:rFonts w:cs="Calibri"/>
                <w:b/>
              </w:rPr>
            </w:pPr>
            <w:r w:rsidRPr="007C39F6">
              <w:rPr>
                <w:rFonts w:cs="Calibri"/>
                <w:b/>
              </w:rPr>
              <w:t>Spotreba vody (l/deň)</w:t>
            </w:r>
          </w:p>
        </w:tc>
      </w:tr>
      <w:tr w:rsidR="008034C0" w:rsidRPr="007C39F6" w14:paraId="0EAE5C56" w14:textId="77777777" w:rsidTr="00096356">
        <w:tc>
          <w:tcPr>
            <w:tcW w:w="2273" w:type="dxa"/>
            <w:vAlign w:val="center"/>
          </w:tcPr>
          <w:p w14:paraId="53A3A0D9" w14:textId="77777777" w:rsidR="008034C0" w:rsidRPr="007C39F6" w:rsidRDefault="008034C0" w:rsidP="00096356">
            <w:pPr>
              <w:jc w:val="center"/>
              <w:rPr>
                <w:rFonts w:cs="Calibri"/>
              </w:rPr>
            </w:pPr>
            <w:r>
              <w:rPr>
                <w:rFonts w:cs="Calibri"/>
              </w:rPr>
              <w:t>Pracovníci prevádzky (výrobná časť)</w:t>
            </w:r>
          </w:p>
        </w:tc>
        <w:tc>
          <w:tcPr>
            <w:tcW w:w="2290" w:type="dxa"/>
            <w:vAlign w:val="center"/>
          </w:tcPr>
          <w:p w14:paraId="475E990C" w14:textId="7C78F435" w:rsidR="008034C0" w:rsidRPr="007C39F6" w:rsidRDefault="008034C0" w:rsidP="00096356">
            <w:pPr>
              <w:jc w:val="center"/>
              <w:rPr>
                <w:rFonts w:cs="Calibri"/>
              </w:rPr>
            </w:pPr>
            <w:r>
              <w:rPr>
                <w:rFonts w:cs="Calibri"/>
              </w:rPr>
              <w:t>135</w:t>
            </w:r>
          </w:p>
        </w:tc>
        <w:tc>
          <w:tcPr>
            <w:tcW w:w="2253" w:type="dxa"/>
            <w:vAlign w:val="center"/>
          </w:tcPr>
          <w:p w14:paraId="132230A3" w14:textId="77777777" w:rsidR="008034C0" w:rsidRPr="007C39F6" w:rsidRDefault="008034C0" w:rsidP="00096356">
            <w:pPr>
              <w:jc w:val="center"/>
              <w:rPr>
                <w:rFonts w:cs="Calibri"/>
              </w:rPr>
            </w:pPr>
            <w:r w:rsidRPr="007C39F6">
              <w:rPr>
                <w:rFonts w:cs="Calibri"/>
              </w:rPr>
              <w:t>120</w:t>
            </w:r>
          </w:p>
        </w:tc>
        <w:tc>
          <w:tcPr>
            <w:tcW w:w="2246" w:type="dxa"/>
            <w:vAlign w:val="center"/>
          </w:tcPr>
          <w:p w14:paraId="21B09770" w14:textId="6F37A2E4" w:rsidR="008034C0" w:rsidRPr="007C39F6" w:rsidRDefault="008034C0" w:rsidP="00096356">
            <w:pPr>
              <w:jc w:val="center"/>
              <w:rPr>
                <w:rFonts w:cs="Calibri"/>
              </w:rPr>
            </w:pPr>
            <w:r>
              <w:rPr>
                <w:rFonts w:cs="Calibri"/>
              </w:rPr>
              <w:t>16 200</w:t>
            </w:r>
          </w:p>
        </w:tc>
      </w:tr>
      <w:tr w:rsidR="008034C0" w:rsidRPr="007C39F6" w14:paraId="68E1876E" w14:textId="77777777" w:rsidTr="00096356">
        <w:tc>
          <w:tcPr>
            <w:tcW w:w="2273" w:type="dxa"/>
            <w:vAlign w:val="center"/>
          </w:tcPr>
          <w:p w14:paraId="52190F01" w14:textId="77777777" w:rsidR="008034C0" w:rsidRDefault="008034C0" w:rsidP="00096356">
            <w:pPr>
              <w:jc w:val="center"/>
              <w:rPr>
                <w:rFonts w:cs="Calibri"/>
              </w:rPr>
            </w:pPr>
            <w:r>
              <w:rPr>
                <w:rFonts w:cs="Calibri"/>
              </w:rPr>
              <w:t>Pracovníci prevádzky (nevýrobná časť)</w:t>
            </w:r>
          </w:p>
        </w:tc>
        <w:tc>
          <w:tcPr>
            <w:tcW w:w="2290" w:type="dxa"/>
            <w:vAlign w:val="center"/>
          </w:tcPr>
          <w:p w14:paraId="2661894F" w14:textId="7A61ED2E" w:rsidR="008034C0" w:rsidRDefault="008034C0" w:rsidP="00096356">
            <w:pPr>
              <w:jc w:val="center"/>
              <w:rPr>
                <w:rFonts w:cs="Calibri"/>
              </w:rPr>
            </w:pPr>
            <w:r>
              <w:rPr>
                <w:rFonts w:cs="Calibri"/>
              </w:rPr>
              <w:t>40</w:t>
            </w:r>
          </w:p>
        </w:tc>
        <w:tc>
          <w:tcPr>
            <w:tcW w:w="2253" w:type="dxa"/>
            <w:vAlign w:val="center"/>
          </w:tcPr>
          <w:p w14:paraId="06DD5D6A" w14:textId="77777777" w:rsidR="008034C0" w:rsidRPr="007C39F6" w:rsidRDefault="008034C0" w:rsidP="00096356">
            <w:pPr>
              <w:jc w:val="center"/>
              <w:rPr>
                <w:rFonts w:cs="Calibri"/>
              </w:rPr>
            </w:pPr>
            <w:r>
              <w:rPr>
                <w:rFonts w:cs="Calibri"/>
              </w:rPr>
              <w:t>60</w:t>
            </w:r>
          </w:p>
        </w:tc>
        <w:tc>
          <w:tcPr>
            <w:tcW w:w="2246" w:type="dxa"/>
            <w:vAlign w:val="center"/>
          </w:tcPr>
          <w:p w14:paraId="75556A72" w14:textId="35C09BB1" w:rsidR="008034C0" w:rsidRDefault="008034C0" w:rsidP="00096356">
            <w:pPr>
              <w:jc w:val="center"/>
              <w:rPr>
                <w:rFonts w:cs="Calibri"/>
              </w:rPr>
            </w:pPr>
            <w:r>
              <w:rPr>
                <w:rFonts w:cs="Calibri"/>
              </w:rPr>
              <w:t>2 400</w:t>
            </w:r>
          </w:p>
        </w:tc>
      </w:tr>
      <w:tr w:rsidR="008034C0" w:rsidRPr="007C39F6" w14:paraId="3D49BDDB" w14:textId="77777777" w:rsidTr="00096356">
        <w:tc>
          <w:tcPr>
            <w:tcW w:w="2273" w:type="dxa"/>
            <w:vAlign w:val="center"/>
          </w:tcPr>
          <w:p w14:paraId="2F157615" w14:textId="77777777" w:rsidR="008034C0" w:rsidRPr="007C39F6" w:rsidRDefault="008034C0" w:rsidP="00096356">
            <w:pPr>
              <w:jc w:val="center"/>
              <w:rPr>
                <w:rFonts w:cs="Calibri"/>
              </w:rPr>
            </w:pPr>
            <w:r w:rsidRPr="007C39F6">
              <w:rPr>
                <w:rFonts w:cs="Calibri"/>
              </w:rPr>
              <w:t>Voda na pitie</w:t>
            </w:r>
          </w:p>
        </w:tc>
        <w:tc>
          <w:tcPr>
            <w:tcW w:w="2290" w:type="dxa"/>
            <w:vAlign w:val="center"/>
          </w:tcPr>
          <w:p w14:paraId="655FC56A" w14:textId="122CBDAF" w:rsidR="008034C0" w:rsidRPr="007C39F6" w:rsidRDefault="008034C0" w:rsidP="00096356">
            <w:pPr>
              <w:jc w:val="center"/>
              <w:rPr>
                <w:rFonts w:cs="Calibri"/>
              </w:rPr>
            </w:pPr>
            <w:r>
              <w:rPr>
                <w:rFonts w:cs="Calibri"/>
              </w:rPr>
              <w:t>175</w:t>
            </w:r>
          </w:p>
        </w:tc>
        <w:tc>
          <w:tcPr>
            <w:tcW w:w="2253" w:type="dxa"/>
            <w:vAlign w:val="center"/>
          </w:tcPr>
          <w:p w14:paraId="26255FC8" w14:textId="77777777" w:rsidR="008034C0" w:rsidRPr="007C39F6" w:rsidRDefault="008034C0" w:rsidP="00096356">
            <w:pPr>
              <w:jc w:val="center"/>
              <w:rPr>
                <w:rFonts w:cs="Calibri"/>
              </w:rPr>
            </w:pPr>
            <w:r w:rsidRPr="007C39F6">
              <w:rPr>
                <w:rFonts w:cs="Calibri"/>
              </w:rPr>
              <w:t>5</w:t>
            </w:r>
          </w:p>
        </w:tc>
        <w:tc>
          <w:tcPr>
            <w:tcW w:w="2246" w:type="dxa"/>
            <w:vAlign w:val="center"/>
          </w:tcPr>
          <w:p w14:paraId="02D84132" w14:textId="354BEC5E" w:rsidR="008034C0" w:rsidRPr="007C39F6" w:rsidRDefault="008034C0" w:rsidP="00096356">
            <w:pPr>
              <w:jc w:val="center"/>
              <w:rPr>
                <w:rFonts w:cs="Calibri"/>
              </w:rPr>
            </w:pPr>
            <w:r>
              <w:rPr>
                <w:rFonts w:cs="Calibri"/>
              </w:rPr>
              <w:t>875</w:t>
            </w:r>
          </w:p>
        </w:tc>
      </w:tr>
      <w:tr w:rsidR="008034C0" w:rsidRPr="007C39F6" w14:paraId="00F2560B" w14:textId="77777777" w:rsidTr="00096356">
        <w:tc>
          <w:tcPr>
            <w:tcW w:w="2273" w:type="dxa"/>
            <w:vAlign w:val="center"/>
          </w:tcPr>
          <w:p w14:paraId="51055838" w14:textId="77777777" w:rsidR="008034C0" w:rsidRPr="007C39F6" w:rsidRDefault="008034C0" w:rsidP="00096356">
            <w:pPr>
              <w:jc w:val="center"/>
              <w:rPr>
                <w:rFonts w:cs="Calibri"/>
              </w:rPr>
            </w:pPr>
            <w:r w:rsidRPr="007C39F6">
              <w:rPr>
                <w:rFonts w:cs="Calibri"/>
              </w:rPr>
              <w:t>Spolu</w:t>
            </w:r>
          </w:p>
        </w:tc>
        <w:tc>
          <w:tcPr>
            <w:tcW w:w="2290" w:type="dxa"/>
            <w:vAlign w:val="center"/>
          </w:tcPr>
          <w:p w14:paraId="55164F22" w14:textId="77777777" w:rsidR="008034C0" w:rsidRPr="007C39F6" w:rsidRDefault="008034C0" w:rsidP="00096356">
            <w:pPr>
              <w:jc w:val="center"/>
              <w:rPr>
                <w:rFonts w:cs="Calibri"/>
              </w:rPr>
            </w:pPr>
          </w:p>
        </w:tc>
        <w:tc>
          <w:tcPr>
            <w:tcW w:w="2253" w:type="dxa"/>
            <w:vAlign w:val="center"/>
          </w:tcPr>
          <w:p w14:paraId="53E6AFAE" w14:textId="77777777" w:rsidR="008034C0" w:rsidRPr="007C39F6" w:rsidRDefault="008034C0" w:rsidP="00096356">
            <w:pPr>
              <w:jc w:val="center"/>
              <w:rPr>
                <w:rFonts w:cs="Calibri"/>
              </w:rPr>
            </w:pPr>
          </w:p>
        </w:tc>
        <w:tc>
          <w:tcPr>
            <w:tcW w:w="2246" w:type="dxa"/>
            <w:vAlign w:val="center"/>
          </w:tcPr>
          <w:p w14:paraId="53EE885E" w14:textId="0CBDEAD5" w:rsidR="008034C0" w:rsidRPr="007C39F6" w:rsidRDefault="008034C0" w:rsidP="00096356">
            <w:pPr>
              <w:jc w:val="center"/>
              <w:rPr>
                <w:rFonts w:cs="Calibri"/>
                <w:b/>
              </w:rPr>
            </w:pPr>
            <w:r>
              <w:rPr>
                <w:rFonts w:cs="Calibri"/>
                <w:b/>
              </w:rPr>
              <w:t>19 475</w:t>
            </w:r>
          </w:p>
        </w:tc>
      </w:tr>
      <w:tr w:rsidR="008034C0" w:rsidRPr="007C39F6" w14:paraId="3B6D81E2" w14:textId="77777777" w:rsidTr="00096356">
        <w:tc>
          <w:tcPr>
            <w:tcW w:w="6816" w:type="dxa"/>
            <w:gridSpan w:val="3"/>
            <w:vAlign w:val="center"/>
          </w:tcPr>
          <w:p w14:paraId="6BDB99F1" w14:textId="29AC8845" w:rsidR="008034C0" w:rsidRPr="00EC5A87" w:rsidRDefault="008034C0" w:rsidP="00096356">
            <w:pPr>
              <w:jc w:val="center"/>
              <w:rPr>
                <w:rFonts w:cs="Calibri"/>
                <w:b/>
                <w:bCs/>
              </w:rPr>
            </w:pPr>
            <w:r w:rsidRPr="00EC5A87">
              <w:rPr>
                <w:rFonts w:cs="Calibri"/>
                <w:b/>
                <w:bCs/>
              </w:rPr>
              <w:t>Približná ročná spotreba vody pre zamestnancov</w:t>
            </w:r>
            <w:r>
              <w:rPr>
                <w:rFonts w:cs="Calibri"/>
                <w:b/>
                <w:bCs/>
              </w:rPr>
              <w:t xml:space="preserve"> – navýšenie </w:t>
            </w:r>
          </w:p>
        </w:tc>
        <w:tc>
          <w:tcPr>
            <w:tcW w:w="2246" w:type="dxa"/>
            <w:vAlign w:val="center"/>
          </w:tcPr>
          <w:p w14:paraId="62ADAA5C" w14:textId="47D33062" w:rsidR="008034C0" w:rsidRPr="007C39F6" w:rsidRDefault="008034C0" w:rsidP="00096356">
            <w:pPr>
              <w:jc w:val="center"/>
              <w:rPr>
                <w:rFonts w:cs="Calibri"/>
                <w:b/>
              </w:rPr>
            </w:pPr>
            <w:r>
              <w:rPr>
                <w:rFonts w:cs="Calibri"/>
                <w:b/>
              </w:rPr>
              <w:t>Cca 4888 m</w:t>
            </w:r>
            <w:r w:rsidRPr="00EC5A87">
              <w:rPr>
                <w:rFonts w:cs="Calibri"/>
                <w:b/>
                <w:vertAlign w:val="superscript"/>
              </w:rPr>
              <w:t>3</w:t>
            </w:r>
          </w:p>
        </w:tc>
      </w:tr>
    </w:tbl>
    <w:p w14:paraId="731C9B9B" w14:textId="77777777" w:rsidR="008034C0" w:rsidRDefault="008034C0" w:rsidP="008034C0">
      <w:pPr>
        <w:rPr>
          <w:highlight w:val="yellow"/>
        </w:rPr>
      </w:pPr>
    </w:p>
    <w:p w14:paraId="681B1AE3" w14:textId="18182677" w:rsidR="008034C0" w:rsidRDefault="00304320" w:rsidP="008034C0">
      <w:pPr>
        <w:pStyle w:val="Popis"/>
        <w:keepNext/>
        <w:jc w:val="left"/>
      </w:pPr>
      <w:r>
        <w:t xml:space="preserve">Tab. </w:t>
      </w:r>
      <w:r>
        <w:fldChar w:fldCharType="begin"/>
      </w:r>
      <w:r>
        <w:instrText xml:space="preserve"> SEQ Tab. \* ARABIC </w:instrText>
      </w:r>
      <w:r>
        <w:fldChar w:fldCharType="separate"/>
      </w:r>
      <w:r w:rsidR="00467FCC">
        <w:rPr>
          <w:noProof/>
        </w:rPr>
        <w:t>6</w:t>
      </w:r>
      <w:r>
        <w:fldChar w:fldCharType="end"/>
      </w:r>
      <w:r>
        <w:t xml:space="preserve"> - Približné ú</w:t>
      </w:r>
      <w:r w:rsidRPr="007C39F6">
        <w:t xml:space="preserve">daje o spotrebe vody pre pitné, sociálne a hygienické účely </w:t>
      </w:r>
      <w:r>
        <w:t>pre zamestnancov po realizácii zmeny činnosti</w:t>
      </w:r>
      <w:bookmarkEnd w:id="16"/>
      <w:r w:rsidR="008034C0" w:rsidRPr="008034C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90"/>
        <w:gridCol w:w="2253"/>
        <w:gridCol w:w="2246"/>
      </w:tblGrid>
      <w:tr w:rsidR="008034C0" w:rsidRPr="007C39F6" w14:paraId="0EFBCC68" w14:textId="77777777" w:rsidTr="00096356">
        <w:trPr>
          <w:tblHeader/>
        </w:trPr>
        <w:tc>
          <w:tcPr>
            <w:tcW w:w="2273" w:type="dxa"/>
            <w:shd w:val="clear" w:color="auto" w:fill="808080" w:themeFill="background1" w:themeFillShade="80"/>
            <w:vAlign w:val="center"/>
          </w:tcPr>
          <w:p w14:paraId="72E36F65" w14:textId="77777777" w:rsidR="008034C0" w:rsidRPr="007C39F6" w:rsidRDefault="008034C0" w:rsidP="00096356">
            <w:pPr>
              <w:jc w:val="center"/>
              <w:rPr>
                <w:rFonts w:cs="Calibri"/>
                <w:b/>
              </w:rPr>
            </w:pPr>
            <w:r w:rsidRPr="007C39F6">
              <w:rPr>
                <w:rFonts w:cs="Calibri"/>
                <w:b/>
              </w:rPr>
              <w:t>Pracovníci</w:t>
            </w:r>
          </w:p>
        </w:tc>
        <w:tc>
          <w:tcPr>
            <w:tcW w:w="2290" w:type="dxa"/>
            <w:shd w:val="clear" w:color="auto" w:fill="808080" w:themeFill="background1" w:themeFillShade="80"/>
            <w:vAlign w:val="center"/>
          </w:tcPr>
          <w:p w14:paraId="1A357C57" w14:textId="77777777" w:rsidR="008034C0" w:rsidRPr="007C39F6" w:rsidRDefault="008034C0" w:rsidP="00096356">
            <w:pPr>
              <w:jc w:val="center"/>
              <w:rPr>
                <w:rFonts w:cs="Calibri"/>
                <w:b/>
              </w:rPr>
            </w:pPr>
            <w:r w:rsidRPr="007C39F6">
              <w:rPr>
                <w:rFonts w:cs="Calibri"/>
                <w:b/>
              </w:rPr>
              <w:t>Počet pracovníkov/deň</w:t>
            </w:r>
          </w:p>
        </w:tc>
        <w:tc>
          <w:tcPr>
            <w:tcW w:w="2253" w:type="dxa"/>
            <w:shd w:val="clear" w:color="auto" w:fill="808080" w:themeFill="background1" w:themeFillShade="80"/>
            <w:vAlign w:val="center"/>
          </w:tcPr>
          <w:p w14:paraId="10EFD8D2" w14:textId="77777777" w:rsidR="008034C0" w:rsidRPr="007C39F6" w:rsidRDefault="008034C0" w:rsidP="00096356">
            <w:pPr>
              <w:jc w:val="center"/>
              <w:rPr>
                <w:rFonts w:cs="Calibri"/>
                <w:b/>
              </w:rPr>
            </w:pPr>
            <w:r w:rsidRPr="007C39F6">
              <w:rPr>
                <w:rFonts w:cs="Calibri"/>
                <w:b/>
              </w:rPr>
              <w:t>Špecifická spotreba vody na jednu osobu (l/deň)</w:t>
            </w:r>
          </w:p>
        </w:tc>
        <w:tc>
          <w:tcPr>
            <w:tcW w:w="2246" w:type="dxa"/>
            <w:shd w:val="clear" w:color="auto" w:fill="808080" w:themeFill="background1" w:themeFillShade="80"/>
            <w:vAlign w:val="center"/>
          </w:tcPr>
          <w:p w14:paraId="5C5DA124" w14:textId="77777777" w:rsidR="008034C0" w:rsidRPr="007C39F6" w:rsidRDefault="008034C0" w:rsidP="00096356">
            <w:pPr>
              <w:jc w:val="center"/>
              <w:rPr>
                <w:rFonts w:cs="Calibri"/>
                <w:b/>
              </w:rPr>
            </w:pPr>
            <w:r w:rsidRPr="007C39F6">
              <w:rPr>
                <w:rFonts w:cs="Calibri"/>
                <w:b/>
              </w:rPr>
              <w:t>Spotreba vody (l/deň)</w:t>
            </w:r>
          </w:p>
        </w:tc>
      </w:tr>
      <w:tr w:rsidR="008034C0" w:rsidRPr="007C39F6" w14:paraId="254B81DE" w14:textId="77777777" w:rsidTr="00096356">
        <w:tc>
          <w:tcPr>
            <w:tcW w:w="2273" w:type="dxa"/>
            <w:vAlign w:val="center"/>
          </w:tcPr>
          <w:p w14:paraId="6CDD5B97" w14:textId="77777777" w:rsidR="008034C0" w:rsidRPr="007C39F6" w:rsidRDefault="008034C0" w:rsidP="00096356">
            <w:pPr>
              <w:jc w:val="center"/>
              <w:rPr>
                <w:rFonts w:cs="Calibri"/>
              </w:rPr>
            </w:pPr>
            <w:r>
              <w:rPr>
                <w:rFonts w:cs="Calibri"/>
              </w:rPr>
              <w:t>Pracovníci prevádzky (výrobná časť)</w:t>
            </w:r>
          </w:p>
        </w:tc>
        <w:tc>
          <w:tcPr>
            <w:tcW w:w="2290" w:type="dxa"/>
            <w:vAlign w:val="center"/>
          </w:tcPr>
          <w:p w14:paraId="030F9756" w14:textId="70D79A7D" w:rsidR="008034C0" w:rsidRPr="007C39F6" w:rsidRDefault="008034C0" w:rsidP="00096356">
            <w:pPr>
              <w:jc w:val="center"/>
              <w:rPr>
                <w:rFonts w:cs="Calibri"/>
              </w:rPr>
            </w:pPr>
            <w:r>
              <w:rPr>
                <w:rFonts w:cs="Calibri"/>
              </w:rPr>
              <w:t>212</w:t>
            </w:r>
          </w:p>
        </w:tc>
        <w:tc>
          <w:tcPr>
            <w:tcW w:w="2253" w:type="dxa"/>
            <w:vAlign w:val="center"/>
          </w:tcPr>
          <w:p w14:paraId="082D6BE1" w14:textId="77777777" w:rsidR="008034C0" w:rsidRPr="007C39F6" w:rsidRDefault="008034C0" w:rsidP="00096356">
            <w:pPr>
              <w:jc w:val="center"/>
              <w:rPr>
                <w:rFonts w:cs="Calibri"/>
              </w:rPr>
            </w:pPr>
            <w:r w:rsidRPr="007C39F6">
              <w:rPr>
                <w:rFonts w:cs="Calibri"/>
              </w:rPr>
              <w:t>120</w:t>
            </w:r>
          </w:p>
        </w:tc>
        <w:tc>
          <w:tcPr>
            <w:tcW w:w="2246" w:type="dxa"/>
            <w:vAlign w:val="center"/>
          </w:tcPr>
          <w:p w14:paraId="51903B9B" w14:textId="5E14D4CC" w:rsidR="008034C0" w:rsidRPr="007C39F6" w:rsidRDefault="008034C0" w:rsidP="00096356">
            <w:pPr>
              <w:jc w:val="center"/>
              <w:rPr>
                <w:rFonts w:cs="Calibri"/>
              </w:rPr>
            </w:pPr>
            <w:r>
              <w:rPr>
                <w:rFonts w:cs="Calibri"/>
              </w:rPr>
              <w:t>25 440</w:t>
            </w:r>
          </w:p>
        </w:tc>
      </w:tr>
      <w:tr w:rsidR="008034C0" w:rsidRPr="007C39F6" w14:paraId="0814BCA7" w14:textId="77777777" w:rsidTr="00096356">
        <w:tc>
          <w:tcPr>
            <w:tcW w:w="2273" w:type="dxa"/>
            <w:vAlign w:val="center"/>
          </w:tcPr>
          <w:p w14:paraId="5CC1E0A9" w14:textId="77777777" w:rsidR="008034C0" w:rsidRDefault="008034C0" w:rsidP="00096356">
            <w:pPr>
              <w:jc w:val="center"/>
              <w:rPr>
                <w:rFonts w:cs="Calibri"/>
              </w:rPr>
            </w:pPr>
            <w:r>
              <w:rPr>
                <w:rFonts w:cs="Calibri"/>
              </w:rPr>
              <w:t>Pracovníci prevádzky (nevýrobná časť)</w:t>
            </w:r>
          </w:p>
        </w:tc>
        <w:tc>
          <w:tcPr>
            <w:tcW w:w="2290" w:type="dxa"/>
            <w:vAlign w:val="center"/>
          </w:tcPr>
          <w:p w14:paraId="14D4AA62" w14:textId="645EA3BA" w:rsidR="008034C0" w:rsidRDefault="008034C0" w:rsidP="00096356">
            <w:pPr>
              <w:jc w:val="center"/>
              <w:rPr>
                <w:rFonts w:cs="Calibri"/>
              </w:rPr>
            </w:pPr>
            <w:r>
              <w:rPr>
                <w:rFonts w:cs="Calibri"/>
              </w:rPr>
              <w:t>66</w:t>
            </w:r>
          </w:p>
        </w:tc>
        <w:tc>
          <w:tcPr>
            <w:tcW w:w="2253" w:type="dxa"/>
            <w:vAlign w:val="center"/>
          </w:tcPr>
          <w:p w14:paraId="3D993629" w14:textId="77777777" w:rsidR="008034C0" w:rsidRPr="007C39F6" w:rsidRDefault="008034C0" w:rsidP="00096356">
            <w:pPr>
              <w:jc w:val="center"/>
              <w:rPr>
                <w:rFonts w:cs="Calibri"/>
              </w:rPr>
            </w:pPr>
            <w:r>
              <w:rPr>
                <w:rFonts w:cs="Calibri"/>
              </w:rPr>
              <w:t>60</w:t>
            </w:r>
          </w:p>
        </w:tc>
        <w:tc>
          <w:tcPr>
            <w:tcW w:w="2246" w:type="dxa"/>
            <w:vAlign w:val="center"/>
          </w:tcPr>
          <w:p w14:paraId="39BFA474" w14:textId="7CFDD15B" w:rsidR="008034C0" w:rsidRDefault="008034C0" w:rsidP="00096356">
            <w:pPr>
              <w:jc w:val="center"/>
              <w:rPr>
                <w:rFonts w:cs="Calibri"/>
              </w:rPr>
            </w:pPr>
            <w:r>
              <w:rPr>
                <w:rFonts w:cs="Calibri"/>
              </w:rPr>
              <w:t>3 960</w:t>
            </w:r>
          </w:p>
        </w:tc>
      </w:tr>
      <w:tr w:rsidR="008034C0" w:rsidRPr="007C39F6" w14:paraId="41ED2641" w14:textId="77777777" w:rsidTr="00096356">
        <w:tc>
          <w:tcPr>
            <w:tcW w:w="2273" w:type="dxa"/>
            <w:vAlign w:val="center"/>
          </w:tcPr>
          <w:p w14:paraId="1E960339" w14:textId="77777777" w:rsidR="008034C0" w:rsidRPr="007C39F6" w:rsidRDefault="008034C0" w:rsidP="00096356">
            <w:pPr>
              <w:jc w:val="center"/>
              <w:rPr>
                <w:rFonts w:cs="Calibri"/>
              </w:rPr>
            </w:pPr>
            <w:r w:rsidRPr="007C39F6">
              <w:rPr>
                <w:rFonts w:cs="Calibri"/>
              </w:rPr>
              <w:t>Voda na pitie</w:t>
            </w:r>
          </w:p>
        </w:tc>
        <w:tc>
          <w:tcPr>
            <w:tcW w:w="2290" w:type="dxa"/>
            <w:vAlign w:val="center"/>
          </w:tcPr>
          <w:p w14:paraId="7C067027" w14:textId="5E673676" w:rsidR="008034C0" w:rsidRPr="007C39F6" w:rsidRDefault="008034C0" w:rsidP="00096356">
            <w:pPr>
              <w:jc w:val="center"/>
              <w:rPr>
                <w:rFonts w:cs="Calibri"/>
              </w:rPr>
            </w:pPr>
            <w:r>
              <w:rPr>
                <w:rFonts w:cs="Calibri"/>
              </w:rPr>
              <w:t>278</w:t>
            </w:r>
          </w:p>
        </w:tc>
        <w:tc>
          <w:tcPr>
            <w:tcW w:w="2253" w:type="dxa"/>
            <w:vAlign w:val="center"/>
          </w:tcPr>
          <w:p w14:paraId="1E098F31" w14:textId="77777777" w:rsidR="008034C0" w:rsidRPr="007C39F6" w:rsidRDefault="008034C0" w:rsidP="00096356">
            <w:pPr>
              <w:jc w:val="center"/>
              <w:rPr>
                <w:rFonts w:cs="Calibri"/>
              </w:rPr>
            </w:pPr>
            <w:r w:rsidRPr="007C39F6">
              <w:rPr>
                <w:rFonts w:cs="Calibri"/>
              </w:rPr>
              <w:t>5</w:t>
            </w:r>
          </w:p>
        </w:tc>
        <w:tc>
          <w:tcPr>
            <w:tcW w:w="2246" w:type="dxa"/>
            <w:vAlign w:val="center"/>
          </w:tcPr>
          <w:p w14:paraId="6FC70A90" w14:textId="75D70CBA" w:rsidR="008034C0" w:rsidRPr="007C39F6" w:rsidRDefault="008034C0" w:rsidP="00096356">
            <w:pPr>
              <w:jc w:val="center"/>
              <w:rPr>
                <w:rFonts w:cs="Calibri"/>
              </w:rPr>
            </w:pPr>
            <w:r>
              <w:rPr>
                <w:rFonts w:cs="Calibri"/>
              </w:rPr>
              <w:t>1 390</w:t>
            </w:r>
          </w:p>
        </w:tc>
      </w:tr>
      <w:tr w:rsidR="008034C0" w:rsidRPr="007C39F6" w14:paraId="5A4B60C0" w14:textId="77777777" w:rsidTr="00096356">
        <w:tc>
          <w:tcPr>
            <w:tcW w:w="2273" w:type="dxa"/>
            <w:vAlign w:val="center"/>
          </w:tcPr>
          <w:p w14:paraId="41E173D7" w14:textId="77777777" w:rsidR="008034C0" w:rsidRPr="007C39F6" w:rsidRDefault="008034C0" w:rsidP="00096356">
            <w:pPr>
              <w:jc w:val="center"/>
              <w:rPr>
                <w:rFonts w:cs="Calibri"/>
              </w:rPr>
            </w:pPr>
            <w:r w:rsidRPr="007C39F6">
              <w:rPr>
                <w:rFonts w:cs="Calibri"/>
              </w:rPr>
              <w:t>Spolu</w:t>
            </w:r>
          </w:p>
        </w:tc>
        <w:tc>
          <w:tcPr>
            <w:tcW w:w="2290" w:type="dxa"/>
            <w:vAlign w:val="center"/>
          </w:tcPr>
          <w:p w14:paraId="0125CBFC" w14:textId="77777777" w:rsidR="008034C0" w:rsidRPr="007C39F6" w:rsidRDefault="008034C0" w:rsidP="00096356">
            <w:pPr>
              <w:jc w:val="center"/>
              <w:rPr>
                <w:rFonts w:cs="Calibri"/>
              </w:rPr>
            </w:pPr>
          </w:p>
        </w:tc>
        <w:tc>
          <w:tcPr>
            <w:tcW w:w="2253" w:type="dxa"/>
            <w:vAlign w:val="center"/>
          </w:tcPr>
          <w:p w14:paraId="220F43F6" w14:textId="77777777" w:rsidR="008034C0" w:rsidRPr="007C39F6" w:rsidRDefault="008034C0" w:rsidP="00096356">
            <w:pPr>
              <w:jc w:val="center"/>
              <w:rPr>
                <w:rFonts w:cs="Calibri"/>
              </w:rPr>
            </w:pPr>
          </w:p>
        </w:tc>
        <w:tc>
          <w:tcPr>
            <w:tcW w:w="2246" w:type="dxa"/>
            <w:vAlign w:val="center"/>
          </w:tcPr>
          <w:p w14:paraId="3EAEFDCC" w14:textId="61ADE2FE" w:rsidR="008034C0" w:rsidRPr="007C39F6" w:rsidRDefault="008034C0" w:rsidP="00096356">
            <w:pPr>
              <w:jc w:val="center"/>
              <w:rPr>
                <w:rFonts w:cs="Calibri"/>
                <w:b/>
              </w:rPr>
            </w:pPr>
            <w:r>
              <w:rPr>
                <w:rFonts w:cs="Calibri"/>
                <w:b/>
              </w:rPr>
              <w:t>30 790</w:t>
            </w:r>
          </w:p>
        </w:tc>
      </w:tr>
      <w:tr w:rsidR="008034C0" w:rsidRPr="007C39F6" w14:paraId="5AE3493A" w14:textId="77777777" w:rsidTr="00096356">
        <w:tc>
          <w:tcPr>
            <w:tcW w:w="6816" w:type="dxa"/>
            <w:gridSpan w:val="3"/>
            <w:vAlign w:val="center"/>
          </w:tcPr>
          <w:p w14:paraId="18CB7B9F" w14:textId="49A5D58A" w:rsidR="008034C0" w:rsidRPr="00EC5A87" w:rsidRDefault="008034C0" w:rsidP="00096356">
            <w:pPr>
              <w:jc w:val="center"/>
              <w:rPr>
                <w:rFonts w:cs="Calibri"/>
                <w:b/>
                <w:bCs/>
              </w:rPr>
            </w:pPr>
            <w:r w:rsidRPr="00EC5A87">
              <w:rPr>
                <w:rFonts w:cs="Calibri"/>
                <w:b/>
                <w:bCs/>
              </w:rPr>
              <w:t>Približná ročná spotreba vody pre zamestnancov</w:t>
            </w:r>
            <w:r>
              <w:rPr>
                <w:rFonts w:cs="Calibri"/>
                <w:b/>
                <w:bCs/>
              </w:rPr>
              <w:t xml:space="preserve"> – celkový stav po navýšení</w:t>
            </w:r>
          </w:p>
        </w:tc>
        <w:tc>
          <w:tcPr>
            <w:tcW w:w="2246" w:type="dxa"/>
            <w:vAlign w:val="center"/>
          </w:tcPr>
          <w:p w14:paraId="51523C61" w14:textId="45426293" w:rsidR="008034C0" w:rsidRPr="007C39F6" w:rsidRDefault="008034C0" w:rsidP="00096356">
            <w:pPr>
              <w:jc w:val="center"/>
              <w:rPr>
                <w:rFonts w:cs="Calibri"/>
                <w:b/>
              </w:rPr>
            </w:pPr>
            <w:r>
              <w:rPr>
                <w:rFonts w:cs="Calibri"/>
                <w:b/>
              </w:rPr>
              <w:t>Cca 7728 m</w:t>
            </w:r>
            <w:r w:rsidRPr="00EC5A87">
              <w:rPr>
                <w:rFonts w:cs="Calibri"/>
                <w:b/>
                <w:vertAlign w:val="superscript"/>
              </w:rPr>
              <w:t>3</w:t>
            </w:r>
          </w:p>
        </w:tc>
      </w:tr>
    </w:tbl>
    <w:p w14:paraId="5C7D16CD" w14:textId="77777777" w:rsidR="008034C0" w:rsidRDefault="008034C0" w:rsidP="008034C0">
      <w:pPr>
        <w:rPr>
          <w:highlight w:val="yellow"/>
        </w:rPr>
      </w:pPr>
    </w:p>
    <w:p w14:paraId="6E769150" w14:textId="60CE580E" w:rsidR="00304320" w:rsidRPr="008034C0" w:rsidRDefault="00304320" w:rsidP="008034C0">
      <w:pPr>
        <w:autoSpaceDE w:val="0"/>
        <w:autoSpaceDN w:val="0"/>
        <w:adjustRightInd w:val="0"/>
      </w:pPr>
      <w:r w:rsidRPr="007C39F6">
        <w:t xml:space="preserve">Vzhľadom na údaje vo vyššie uvedenej tabuľke bude </w:t>
      </w:r>
      <w:r>
        <w:t xml:space="preserve">pre zabezpečenie zmeny opisovanej v predkladanom Oznámení </w:t>
      </w:r>
      <w:r w:rsidRPr="007C39F6">
        <w:t xml:space="preserve">potrebné zabezpečiť vodu o minimálnych nárokoch zodpovedajúcich asi </w:t>
      </w:r>
      <w:r w:rsidR="008034C0">
        <w:t>31</w:t>
      </w:r>
      <w:r w:rsidRPr="007C39F6">
        <w:t> m</w:t>
      </w:r>
      <w:r w:rsidRPr="008034C0">
        <w:rPr>
          <w:vertAlign w:val="superscript"/>
        </w:rPr>
        <w:t>3</w:t>
      </w:r>
      <w:r w:rsidRPr="007C39F6">
        <w:t>/deň, čo v ročnom prepočte predstavuje pri predpokladaní 2</w:t>
      </w:r>
      <w:r w:rsidR="008034C0">
        <w:t>51</w:t>
      </w:r>
      <w:r w:rsidRPr="007C39F6">
        <w:t xml:space="preserve"> dní ročného fondu pracovného času asi </w:t>
      </w:r>
      <w:r w:rsidR="008034C0">
        <w:t>7700</w:t>
      </w:r>
      <w:r w:rsidRPr="007C39F6">
        <w:t> m</w:t>
      </w:r>
      <w:r w:rsidRPr="008034C0">
        <w:rPr>
          <w:vertAlign w:val="superscript"/>
        </w:rPr>
        <w:t>3</w:t>
      </w:r>
      <w:r w:rsidRPr="007C39F6">
        <w:t xml:space="preserve">/rok. </w:t>
      </w:r>
    </w:p>
    <w:p w14:paraId="0162A48D" w14:textId="77777777" w:rsidR="00304320" w:rsidRDefault="00304320" w:rsidP="000C105F">
      <w:pPr>
        <w:autoSpaceDE w:val="0"/>
        <w:autoSpaceDN w:val="0"/>
        <w:adjustRightInd w:val="0"/>
        <w:rPr>
          <w:b/>
        </w:rPr>
      </w:pPr>
    </w:p>
    <w:p w14:paraId="15AD39B4" w14:textId="2DF7D490" w:rsidR="000C105F" w:rsidRDefault="000C105F" w:rsidP="000C105F">
      <w:pPr>
        <w:autoSpaceDE w:val="0"/>
        <w:autoSpaceDN w:val="0"/>
        <w:adjustRightInd w:val="0"/>
        <w:rPr>
          <w:b/>
        </w:rPr>
      </w:pPr>
      <w:r w:rsidRPr="000C105F">
        <w:rPr>
          <w:b/>
        </w:rPr>
        <w:t xml:space="preserve">Elektrická energia </w:t>
      </w:r>
    </w:p>
    <w:p w14:paraId="5030B17B" w14:textId="65DB1352" w:rsidR="008034C0" w:rsidRDefault="00304320" w:rsidP="00304320">
      <w:pPr>
        <w:autoSpaceDE w:val="0"/>
        <w:autoSpaceDN w:val="0"/>
        <w:adjustRightInd w:val="0"/>
      </w:pPr>
      <w:r w:rsidRPr="000C72C7">
        <w:t>Ako prívod elektrickej energie pre potreby inštalácie technológie bude slúžiť existujúci prívod elektrickej energie v</w:t>
      </w:r>
      <w:r w:rsidR="008034C0">
        <w:t> </w:t>
      </w:r>
      <w:r w:rsidRPr="000C72C7">
        <w:t>areáli.</w:t>
      </w:r>
      <w:r w:rsidR="008034C0">
        <w:t xml:space="preserve"> Zabezpečenie zvýšených nárokov na spotrebu elektrickej ene</w:t>
      </w:r>
      <w:r w:rsidR="003D187D">
        <w:t>r</w:t>
      </w:r>
      <w:r w:rsidR="008034C0">
        <w:t>gie je riešené prostredníctvom zvýšenia kapacity trafostanice.</w:t>
      </w:r>
    </w:p>
    <w:p w14:paraId="6C5767AA" w14:textId="759A42D9" w:rsidR="00467FCC" w:rsidRDefault="00304320" w:rsidP="00467FCC">
      <w:pPr>
        <w:autoSpaceDE w:val="0"/>
        <w:autoSpaceDN w:val="0"/>
        <w:adjustRightInd w:val="0"/>
      </w:pPr>
      <w:r w:rsidRPr="000C72C7">
        <w:t>Navrhovaná činnosť bude vyžadovať dodávku elektrickej energie za účelom zabezpečenia chodu strojno-technologického zariadeni</w:t>
      </w:r>
      <w:r>
        <w:t>a a</w:t>
      </w:r>
      <w:r w:rsidRPr="000C72C7">
        <w:t xml:space="preserve"> osvetlenia priestorov prevádzky</w:t>
      </w:r>
      <w:r>
        <w:t xml:space="preserve">. </w:t>
      </w:r>
      <w:r w:rsidR="00467FCC">
        <w:t>Spotreba elektrickej energie pred a po realizácii navrhovanej zmeny je uvedená v nasledujúcom prehľade:</w:t>
      </w:r>
    </w:p>
    <w:p w14:paraId="3A036D21" w14:textId="0602873C" w:rsidR="00467FCC" w:rsidRDefault="00467FCC" w:rsidP="00467FCC">
      <w:pPr>
        <w:autoSpaceDE w:val="0"/>
        <w:autoSpaceDN w:val="0"/>
        <w:adjustRightInd w:val="0"/>
      </w:pPr>
    </w:p>
    <w:p w14:paraId="2A0ABF45" w14:textId="795895ED" w:rsidR="00467FCC" w:rsidRDefault="00467FCC" w:rsidP="00467FCC">
      <w:pPr>
        <w:autoSpaceDE w:val="0"/>
        <w:autoSpaceDN w:val="0"/>
        <w:adjustRightInd w:val="0"/>
      </w:pPr>
    </w:p>
    <w:p w14:paraId="567C9976" w14:textId="05182128" w:rsidR="00467FCC" w:rsidRDefault="00467FCC" w:rsidP="00467FCC">
      <w:pPr>
        <w:autoSpaceDE w:val="0"/>
        <w:autoSpaceDN w:val="0"/>
        <w:adjustRightInd w:val="0"/>
      </w:pPr>
    </w:p>
    <w:p w14:paraId="09BCB47B" w14:textId="77777777" w:rsidR="00467FCC" w:rsidRDefault="00467FCC" w:rsidP="00467FCC">
      <w:pPr>
        <w:autoSpaceDE w:val="0"/>
        <w:autoSpaceDN w:val="0"/>
        <w:adjustRightInd w:val="0"/>
      </w:pPr>
    </w:p>
    <w:p w14:paraId="7030E63B" w14:textId="7F70E449" w:rsidR="00467FCC" w:rsidRDefault="00467FCC" w:rsidP="00467FCC">
      <w:pPr>
        <w:pStyle w:val="Popis"/>
        <w:keepNext/>
      </w:pPr>
      <w:r>
        <w:lastRenderedPageBreak/>
        <w:t xml:space="preserve">Tab. </w:t>
      </w:r>
      <w:r>
        <w:fldChar w:fldCharType="begin"/>
      </w:r>
      <w:r>
        <w:instrText xml:space="preserve"> SEQ Tab. \* ARABIC </w:instrText>
      </w:r>
      <w:r>
        <w:fldChar w:fldCharType="separate"/>
      </w:r>
      <w:r>
        <w:rPr>
          <w:noProof/>
        </w:rPr>
        <w:t>7</w:t>
      </w:r>
      <w:r>
        <w:fldChar w:fldCharType="end"/>
      </w:r>
      <w:r>
        <w:t xml:space="preserve"> – Spotreba elektrickej energie</w:t>
      </w:r>
    </w:p>
    <w:tbl>
      <w:tblPr>
        <w:tblStyle w:val="Mriekatabuky"/>
        <w:tblW w:w="0" w:type="auto"/>
        <w:tblLook w:val="04A0" w:firstRow="1" w:lastRow="0" w:firstColumn="1" w:lastColumn="0" w:noHBand="0" w:noVBand="1"/>
      </w:tblPr>
      <w:tblGrid>
        <w:gridCol w:w="2377"/>
        <w:gridCol w:w="2126"/>
        <w:gridCol w:w="2674"/>
        <w:gridCol w:w="2111"/>
      </w:tblGrid>
      <w:tr w:rsidR="00467FCC" w14:paraId="0A15161B" w14:textId="77777777" w:rsidTr="00467FCC">
        <w:tc>
          <w:tcPr>
            <w:tcW w:w="2377" w:type="dxa"/>
            <w:shd w:val="clear" w:color="auto" w:fill="808080" w:themeFill="background1" w:themeFillShade="80"/>
            <w:vAlign w:val="center"/>
          </w:tcPr>
          <w:p w14:paraId="1EFD60D8" w14:textId="5CE738BE" w:rsidR="00467FCC" w:rsidRPr="003D187D" w:rsidRDefault="00467FCC" w:rsidP="007C5303">
            <w:pPr>
              <w:spacing w:before="120" w:after="120"/>
              <w:jc w:val="center"/>
              <w:rPr>
                <w:b/>
                <w:bCs/>
                <w:i/>
                <w:iCs/>
              </w:rPr>
            </w:pPr>
          </w:p>
        </w:tc>
        <w:tc>
          <w:tcPr>
            <w:tcW w:w="2126" w:type="dxa"/>
            <w:shd w:val="clear" w:color="auto" w:fill="808080" w:themeFill="background1" w:themeFillShade="80"/>
            <w:vAlign w:val="center"/>
          </w:tcPr>
          <w:p w14:paraId="7978F83C" w14:textId="1017A83E" w:rsidR="00467FCC" w:rsidRPr="003D187D" w:rsidRDefault="00467FCC" w:rsidP="007C5303">
            <w:pPr>
              <w:spacing w:before="120" w:after="120"/>
              <w:jc w:val="center"/>
              <w:rPr>
                <w:b/>
                <w:bCs/>
                <w:i/>
                <w:iCs/>
              </w:rPr>
            </w:pPr>
            <w:r w:rsidRPr="003D187D">
              <w:rPr>
                <w:b/>
                <w:bCs/>
                <w:i/>
                <w:iCs/>
              </w:rPr>
              <w:t>Pôvodná spotreba</w:t>
            </w:r>
            <w:r>
              <w:rPr>
                <w:b/>
                <w:bCs/>
                <w:i/>
                <w:iCs/>
              </w:rPr>
              <w:t xml:space="preserve"> (MWh/mesiac)</w:t>
            </w:r>
          </w:p>
        </w:tc>
        <w:tc>
          <w:tcPr>
            <w:tcW w:w="2674" w:type="dxa"/>
            <w:shd w:val="clear" w:color="auto" w:fill="808080" w:themeFill="background1" w:themeFillShade="80"/>
            <w:vAlign w:val="center"/>
          </w:tcPr>
          <w:p w14:paraId="30D817B9" w14:textId="329B2652" w:rsidR="00467FCC" w:rsidRPr="003D187D" w:rsidRDefault="00467FCC" w:rsidP="007C5303">
            <w:pPr>
              <w:spacing w:before="120" w:after="120"/>
              <w:jc w:val="center"/>
              <w:rPr>
                <w:b/>
                <w:bCs/>
                <w:i/>
                <w:iCs/>
              </w:rPr>
            </w:pPr>
            <w:r w:rsidRPr="003D187D">
              <w:rPr>
                <w:b/>
                <w:bCs/>
                <w:i/>
                <w:iCs/>
              </w:rPr>
              <w:t>Spotreba v dôsledku navýšenia</w:t>
            </w:r>
            <w:r>
              <w:rPr>
                <w:b/>
                <w:bCs/>
                <w:i/>
                <w:iCs/>
              </w:rPr>
              <w:t xml:space="preserve"> (MWh/mesiac)</w:t>
            </w:r>
          </w:p>
        </w:tc>
        <w:tc>
          <w:tcPr>
            <w:tcW w:w="2111" w:type="dxa"/>
            <w:shd w:val="clear" w:color="auto" w:fill="808080" w:themeFill="background1" w:themeFillShade="80"/>
            <w:vAlign w:val="center"/>
          </w:tcPr>
          <w:p w14:paraId="6D12ECD8" w14:textId="3C1B7FCC" w:rsidR="00467FCC" w:rsidRPr="003D187D" w:rsidRDefault="00467FCC" w:rsidP="007C5303">
            <w:pPr>
              <w:spacing w:before="120" w:after="120"/>
              <w:jc w:val="center"/>
              <w:rPr>
                <w:b/>
                <w:bCs/>
                <w:i/>
                <w:iCs/>
              </w:rPr>
            </w:pPr>
            <w:r w:rsidRPr="003D187D">
              <w:rPr>
                <w:b/>
                <w:bCs/>
                <w:i/>
                <w:iCs/>
              </w:rPr>
              <w:t>Celková spotreba po navýšení</w:t>
            </w:r>
            <w:r>
              <w:rPr>
                <w:b/>
                <w:bCs/>
                <w:i/>
                <w:iCs/>
              </w:rPr>
              <w:t xml:space="preserve"> (MWh/mesiac)</w:t>
            </w:r>
          </w:p>
        </w:tc>
      </w:tr>
      <w:tr w:rsidR="00467FCC" w14:paraId="4C47B3AF" w14:textId="77777777" w:rsidTr="00467FCC">
        <w:tc>
          <w:tcPr>
            <w:tcW w:w="2377" w:type="dxa"/>
            <w:vAlign w:val="center"/>
          </w:tcPr>
          <w:p w14:paraId="65FDB231" w14:textId="7A6869ED" w:rsidR="00467FCC" w:rsidRDefault="00467FCC" w:rsidP="007C5303">
            <w:pPr>
              <w:spacing w:before="120" w:after="120"/>
              <w:jc w:val="center"/>
            </w:pPr>
            <w:r>
              <w:t>Elektrická energia</w:t>
            </w:r>
          </w:p>
        </w:tc>
        <w:tc>
          <w:tcPr>
            <w:tcW w:w="2126" w:type="dxa"/>
            <w:vAlign w:val="center"/>
          </w:tcPr>
          <w:p w14:paraId="50A9FE55" w14:textId="009B317A" w:rsidR="00467FCC" w:rsidRDefault="00467FCC" w:rsidP="007C5303">
            <w:pPr>
              <w:spacing w:before="120" w:after="120"/>
              <w:jc w:val="center"/>
            </w:pPr>
            <w:r>
              <w:t>295</w:t>
            </w:r>
          </w:p>
        </w:tc>
        <w:tc>
          <w:tcPr>
            <w:tcW w:w="2674" w:type="dxa"/>
            <w:vAlign w:val="center"/>
          </w:tcPr>
          <w:p w14:paraId="248ED860" w14:textId="5CF91863" w:rsidR="00467FCC" w:rsidRDefault="00467FCC" w:rsidP="007C5303">
            <w:pPr>
              <w:spacing w:before="120" w:after="120"/>
              <w:jc w:val="center"/>
            </w:pPr>
            <w:r>
              <w:t>103,25</w:t>
            </w:r>
          </w:p>
        </w:tc>
        <w:tc>
          <w:tcPr>
            <w:tcW w:w="2111" w:type="dxa"/>
            <w:vAlign w:val="center"/>
          </w:tcPr>
          <w:p w14:paraId="170F9805" w14:textId="6E9C3A83" w:rsidR="00467FCC" w:rsidRDefault="00467FCC" w:rsidP="007C5303">
            <w:pPr>
              <w:spacing w:before="120" w:after="120"/>
              <w:jc w:val="center"/>
            </w:pPr>
            <w:r>
              <w:t>398,25</w:t>
            </w:r>
          </w:p>
        </w:tc>
      </w:tr>
    </w:tbl>
    <w:p w14:paraId="75C51F6E" w14:textId="77777777" w:rsidR="00467FCC" w:rsidRDefault="00467FCC" w:rsidP="00467FCC">
      <w:pPr>
        <w:rPr>
          <w:b/>
        </w:rPr>
      </w:pPr>
    </w:p>
    <w:p w14:paraId="37417966" w14:textId="77777777" w:rsidR="003D187D" w:rsidRDefault="003D187D" w:rsidP="000C105F">
      <w:pPr>
        <w:autoSpaceDE w:val="0"/>
        <w:autoSpaceDN w:val="0"/>
        <w:adjustRightInd w:val="0"/>
        <w:rPr>
          <w:b/>
        </w:rPr>
      </w:pPr>
    </w:p>
    <w:p w14:paraId="4F6C42D3" w14:textId="1DA753AB" w:rsidR="000C105F" w:rsidRDefault="000C105F" w:rsidP="000C105F">
      <w:pPr>
        <w:autoSpaceDE w:val="0"/>
        <w:autoSpaceDN w:val="0"/>
        <w:adjustRightInd w:val="0"/>
        <w:rPr>
          <w:b/>
        </w:rPr>
      </w:pPr>
      <w:r>
        <w:rPr>
          <w:b/>
        </w:rPr>
        <w:t>Z</w:t>
      </w:r>
      <w:r w:rsidRPr="000C105F">
        <w:rPr>
          <w:b/>
        </w:rPr>
        <w:t xml:space="preserve">emný plyn, </w:t>
      </w:r>
    </w:p>
    <w:p w14:paraId="5170B34B" w14:textId="2E4101A0" w:rsidR="00096356" w:rsidRPr="00096356" w:rsidRDefault="00096356" w:rsidP="000C105F">
      <w:pPr>
        <w:autoSpaceDE w:val="0"/>
        <w:autoSpaceDN w:val="0"/>
        <w:adjustRightInd w:val="0"/>
        <w:rPr>
          <w:bCs/>
        </w:rPr>
      </w:pPr>
      <w:r>
        <w:rPr>
          <w:bCs/>
        </w:rPr>
        <w:t xml:space="preserve">Spotreba zemného plynu </w:t>
      </w:r>
      <w:r w:rsidR="006A0C1C">
        <w:rPr>
          <w:bCs/>
        </w:rPr>
        <w:t xml:space="preserve">v pôvodnej prevádzke </w:t>
      </w:r>
      <w:r>
        <w:rPr>
          <w:bCs/>
        </w:rPr>
        <w:t xml:space="preserve">nebude navrhovanou zmenou dotknutá. Navrhované priestory budú vykurované pomocou </w:t>
      </w:r>
      <w:r w:rsidR="006A0C1C">
        <w:rPr>
          <w:bCs/>
        </w:rPr>
        <w:t>plynových žiaričov z ktorých bude mať každý samostatný výduch nad strechu objektu</w:t>
      </w:r>
      <w:r>
        <w:rPr>
          <w:bCs/>
        </w:rPr>
        <w:t>. Zdroj TUV taktiež zostane nezmenený. Týmto nedôjde ani k zmene parametrov zdroja znečisťovania ovzdušia ktorým je existujúca kotolňa.</w:t>
      </w:r>
    </w:p>
    <w:p w14:paraId="798053A5" w14:textId="77777777" w:rsidR="007C5303" w:rsidRDefault="007C5303" w:rsidP="000C105F">
      <w:pPr>
        <w:rPr>
          <w:b/>
        </w:rPr>
      </w:pPr>
      <w:bookmarkStart w:id="17" w:name="_Toc366083373"/>
    </w:p>
    <w:p w14:paraId="19AD65A1" w14:textId="77777777" w:rsidR="007C5303" w:rsidRDefault="000C105F" w:rsidP="007C5303">
      <w:pPr>
        <w:rPr>
          <w:b/>
        </w:rPr>
      </w:pPr>
      <w:r w:rsidRPr="000C105F">
        <w:rPr>
          <w:b/>
        </w:rPr>
        <w:t>Materiálové vstupy</w:t>
      </w:r>
      <w:bookmarkEnd w:id="17"/>
      <w:r w:rsidRPr="000C105F">
        <w:rPr>
          <w:b/>
        </w:rPr>
        <w:t xml:space="preserve"> </w:t>
      </w:r>
    </w:p>
    <w:p w14:paraId="150CB591" w14:textId="77D03B6F" w:rsidR="003D187D" w:rsidRDefault="00304320" w:rsidP="007C5303">
      <w:pPr>
        <w:rPr>
          <w:b/>
        </w:rPr>
      </w:pPr>
      <w:r w:rsidRPr="00120D01">
        <w:t>Základn</w:t>
      </w:r>
      <w:r w:rsidR="00096356">
        <w:t>ou surovinou používanou pre proces výroby sú plast</w:t>
      </w:r>
      <w:r w:rsidR="003D187D">
        <w:t>ové granuláty</w:t>
      </w:r>
      <w:r w:rsidR="00096356">
        <w:t>. Vzhľadom na projektovaný nárast výrobnej kapacity na dvojnásobok pôvodnej kapacity sa uvažuje s rovnakým nárastom v spotrebe vstupných surovín</w:t>
      </w:r>
      <w:r w:rsidR="003D187D">
        <w:t>.</w:t>
      </w:r>
    </w:p>
    <w:p w14:paraId="0A84FA01" w14:textId="77777777" w:rsidR="007C5303" w:rsidRPr="007C5303" w:rsidRDefault="007C5303" w:rsidP="007C5303">
      <w:pPr>
        <w:rPr>
          <w:b/>
        </w:rPr>
      </w:pPr>
    </w:p>
    <w:p w14:paraId="74A41C49" w14:textId="5C1B6B1D" w:rsidR="003D187D" w:rsidRDefault="003D187D" w:rsidP="003D187D">
      <w:pPr>
        <w:pStyle w:val="Popis"/>
        <w:keepNext/>
      </w:pPr>
      <w:r>
        <w:t xml:space="preserve">Tab. </w:t>
      </w:r>
      <w:r>
        <w:fldChar w:fldCharType="begin"/>
      </w:r>
      <w:r>
        <w:instrText xml:space="preserve"> SEQ Tab. \* ARABIC </w:instrText>
      </w:r>
      <w:r>
        <w:fldChar w:fldCharType="separate"/>
      </w:r>
      <w:r w:rsidR="00467FCC">
        <w:rPr>
          <w:noProof/>
        </w:rPr>
        <w:t>8</w:t>
      </w:r>
      <w:r>
        <w:fldChar w:fldCharType="end"/>
      </w:r>
      <w:r>
        <w:t xml:space="preserve"> – Spotreba vstupnej suroviny – plastového granulátu</w:t>
      </w:r>
    </w:p>
    <w:tbl>
      <w:tblPr>
        <w:tblStyle w:val="Mriekatabuky"/>
        <w:tblW w:w="0" w:type="auto"/>
        <w:tblLook w:val="04A0" w:firstRow="1" w:lastRow="0" w:firstColumn="1" w:lastColumn="0" w:noHBand="0" w:noVBand="1"/>
      </w:tblPr>
      <w:tblGrid>
        <w:gridCol w:w="2377"/>
        <w:gridCol w:w="2368"/>
        <w:gridCol w:w="2432"/>
        <w:gridCol w:w="2111"/>
      </w:tblGrid>
      <w:tr w:rsidR="00096356" w14:paraId="39B25AD7" w14:textId="76731393" w:rsidTr="005F29A9">
        <w:tc>
          <w:tcPr>
            <w:tcW w:w="2377" w:type="dxa"/>
            <w:shd w:val="clear" w:color="auto" w:fill="808080" w:themeFill="background1" w:themeFillShade="80"/>
            <w:vAlign w:val="center"/>
          </w:tcPr>
          <w:p w14:paraId="051504E2" w14:textId="4E8418D7" w:rsidR="00096356" w:rsidRPr="003D187D" w:rsidRDefault="00096356" w:rsidP="005F29A9">
            <w:pPr>
              <w:spacing w:before="120" w:after="120"/>
              <w:jc w:val="center"/>
              <w:rPr>
                <w:b/>
                <w:bCs/>
                <w:i/>
                <w:iCs/>
              </w:rPr>
            </w:pPr>
            <w:r w:rsidRPr="003D187D">
              <w:rPr>
                <w:b/>
                <w:bCs/>
                <w:i/>
                <w:iCs/>
              </w:rPr>
              <w:t>Surovina</w:t>
            </w:r>
          </w:p>
        </w:tc>
        <w:tc>
          <w:tcPr>
            <w:tcW w:w="2368" w:type="dxa"/>
            <w:shd w:val="clear" w:color="auto" w:fill="808080" w:themeFill="background1" w:themeFillShade="80"/>
            <w:vAlign w:val="center"/>
          </w:tcPr>
          <w:p w14:paraId="1268FB77" w14:textId="13DD28C6" w:rsidR="00096356" w:rsidRPr="003D187D" w:rsidRDefault="00096356" w:rsidP="005F29A9">
            <w:pPr>
              <w:spacing w:before="120" w:after="120"/>
              <w:jc w:val="center"/>
              <w:rPr>
                <w:b/>
                <w:bCs/>
                <w:i/>
                <w:iCs/>
              </w:rPr>
            </w:pPr>
            <w:r w:rsidRPr="003D187D">
              <w:rPr>
                <w:b/>
                <w:bCs/>
                <w:i/>
                <w:iCs/>
              </w:rPr>
              <w:t>Pôvodná spotreba</w:t>
            </w:r>
            <w:r w:rsidR="00467FCC">
              <w:rPr>
                <w:b/>
                <w:bCs/>
                <w:i/>
                <w:iCs/>
              </w:rPr>
              <w:t xml:space="preserve"> (t/rok)</w:t>
            </w:r>
          </w:p>
        </w:tc>
        <w:tc>
          <w:tcPr>
            <w:tcW w:w="2432" w:type="dxa"/>
            <w:shd w:val="clear" w:color="auto" w:fill="808080" w:themeFill="background1" w:themeFillShade="80"/>
            <w:vAlign w:val="center"/>
          </w:tcPr>
          <w:p w14:paraId="6083C1E5" w14:textId="5CF02736" w:rsidR="00096356" w:rsidRPr="003D187D" w:rsidRDefault="00096356" w:rsidP="005F29A9">
            <w:pPr>
              <w:spacing w:before="120" w:after="120"/>
              <w:jc w:val="center"/>
              <w:rPr>
                <w:b/>
                <w:bCs/>
                <w:i/>
                <w:iCs/>
              </w:rPr>
            </w:pPr>
            <w:r w:rsidRPr="003D187D">
              <w:rPr>
                <w:b/>
                <w:bCs/>
                <w:i/>
                <w:iCs/>
              </w:rPr>
              <w:t>Spotreba v dôsledku navýšenia</w:t>
            </w:r>
            <w:r w:rsidR="00467FCC">
              <w:rPr>
                <w:b/>
                <w:bCs/>
                <w:i/>
                <w:iCs/>
              </w:rPr>
              <w:t xml:space="preserve"> (t/rok)</w:t>
            </w:r>
          </w:p>
        </w:tc>
        <w:tc>
          <w:tcPr>
            <w:tcW w:w="2111" w:type="dxa"/>
            <w:shd w:val="clear" w:color="auto" w:fill="808080" w:themeFill="background1" w:themeFillShade="80"/>
            <w:vAlign w:val="center"/>
          </w:tcPr>
          <w:p w14:paraId="37C2E444" w14:textId="6D26F72C" w:rsidR="00096356" w:rsidRPr="003D187D" w:rsidRDefault="00096356" w:rsidP="005F29A9">
            <w:pPr>
              <w:spacing w:before="120" w:after="120"/>
              <w:jc w:val="center"/>
              <w:rPr>
                <w:b/>
                <w:bCs/>
                <w:i/>
                <w:iCs/>
              </w:rPr>
            </w:pPr>
            <w:r w:rsidRPr="003D187D">
              <w:rPr>
                <w:b/>
                <w:bCs/>
                <w:i/>
                <w:iCs/>
              </w:rPr>
              <w:t>Celková spotreba po navýšení</w:t>
            </w:r>
            <w:r w:rsidR="00467FCC">
              <w:rPr>
                <w:b/>
                <w:bCs/>
                <w:i/>
                <w:iCs/>
              </w:rPr>
              <w:t xml:space="preserve"> (t/rok)</w:t>
            </w:r>
          </w:p>
        </w:tc>
      </w:tr>
      <w:tr w:rsidR="00096356" w14:paraId="3A8F7ED9" w14:textId="4ABBD3E7" w:rsidTr="005F29A9">
        <w:tc>
          <w:tcPr>
            <w:tcW w:w="2377" w:type="dxa"/>
            <w:vAlign w:val="center"/>
          </w:tcPr>
          <w:p w14:paraId="0A53AC1F" w14:textId="095B9BE7" w:rsidR="00096356" w:rsidRDefault="003D187D" w:rsidP="005F29A9">
            <w:pPr>
              <w:spacing w:before="120" w:after="120"/>
              <w:jc w:val="center"/>
            </w:pPr>
            <w:r>
              <w:t>Plastový granulát</w:t>
            </w:r>
          </w:p>
        </w:tc>
        <w:tc>
          <w:tcPr>
            <w:tcW w:w="2368" w:type="dxa"/>
            <w:vAlign w:val="center"/>
          </w:tcPr>
          <w:p w14:paraId="46FED5B6" w14:textId="46BF2349" w:rsidR="00096356" w:rsidRDefault="003D187D" w:rsidP="005F29A9">
            <w:pPr>
              <w:spacing w:before="120" w:after="120"/>
              <w:jc w:val="center"/>
            </w:pPr>
            <w:r>
              <w:t>2100</w:t>
            </w:r>
          </w:p>
        </w:tc>
        <w:tc>
          <w:tcPr>
            <w:tcW w:w="2432" w:type="dxa"/>
            <w:vAlign w:val="center"/>
          </w:tcPr>
          <w:p w14:paraId="395986A7" w14:textId="06331163" w:rsidR="00096356" w:rsidRDefault="003D187D" w:rsidP="005F29A9">
            <w:pPr>
              <w:spacing w:before="120" w:after="120"/>
              <w:jc w:val="center"/>
            </w:pPr>
            <w:r>
              <w:t>2100</w:t>
            </w:r>
          </w:p>
        </w:tc>
        <w:tc>
          <w:tcPr>
            <w:tcW w:w="2111" w:type="dxa"/>
            <w:vAlign w:val="center"/>
          </w:tcPr>
          <w:p w14:paraId="22BD1E89" w14:textId="4BC7AD35" w:rsidR="00096356" w:rsidRDefault="003D187D" w:rsidP="005F29A9">
            <w:pPr>
              <w:spacing w:before="120" w:after="120"/>
              <w:jc w:val="center"/>
            </w:pPr>
            <w:r>
              <w:t>4200</w:t>
            </w:r>
          </w:p>
        </w:tc>
      </w:tr>
    </w:tbl>
    <w:p w14:paraId="6B0325A9" w14:textId="3098577D" w:rsidR="00304320" w:rsidRDefault="00304320" w:rsidP="000C105F">
      <w:pPr>
        <w:rPr>
          <w:b/>
        </w:rPr>
      </w:pPr>
    </w:p>
    <w:p w14:paraId="5F612169" w14:textId="023A0552" w:rsidR="005F29A9" w:rsidRPr="005F29A9" w:rsidRDefault="005F29A9" w:rsidP="000C105F">
      <w:r w:rsidRPr="005F29A9">
        <w:t xml:space="preserve">V prevádzke budú taktiež využívané pomocné materiály ako napríklad čistiace prostriedky, prípravky na odmasťovanie a iné. Predpokladané druhy pomocných materiálov a ich predpokladaná ročná spotreba po realizácii navrhovanej zmeny sú uvedené v nasledujúcom prehľade. </w:t>
      </w:r>
    </w:p>
    <w:p w14:paraId="5E0A0642" w14:textId="77777777" w:rsidR="005F29A9" w:rsidRPr="00120D01" w:rsidRDefault="005F29A9" w:rsidP="005F29A9">
      <w:pPr>
        <w:spacing w:before="120"/>
        <w:rPr>
          <w:rFonts w:cs="Arial"/>
        </w:rPr>
      </w:pPr>
    </w:p>
    <w:p w14:paraId="7174AA6E" w14:textId="363CE6C1" w:rsidR="005F29A9" w:rsidRDefault="005F29A9" w:rsidP="005F29A9">
      <w:pPr>
        <w:pStyle w:val="Popis"/>
        <w:keepNext/>
      </w:pPr>
      <w:r>
        <w:t xml:space="preserve">Tab. </w:t>
      </w:r>
      <w:r>
        <w:fldChar w:fldCharType="begin"/>
      </w:r>
      <w:r>
        <w:instrText xml:space="preserve"> SEQ Tab. \* ARABIC </w:instrText>
      </w:r>
      <w:r>
        <w:fldChar w:fldCharType="separate"/>
      </w:r>
      <w:r w:rsidR="00467FCC">
        <w:rPr>
          <w:noProof/>
        </w:rPr>
        <w:t>9</w:t>
      </w:r>
      <w:r>
        <w:fldChar w:fldCharType="end"/>
      </w:r>
      <w:r>
        <w:t xml:space="preserve"> – Predpokladané druhy a množstvá pomocných materiálov</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091"/>
        <w:gridCol w:w="1911"/>
      </w:tblGrid>
      <w:tr w:rsidR="005F29A9" w:rsidRPr="00120D01" w14:paraId="6F238FA6" w14:textId="77777777" w:rsidTr="005F29A9">
        <w:trPr>
          <w:cantSplit/>
        </w:trPr>
        <w:tc>
          <w:tcPr>
            <w:tcW w:w="7091" w:type="dxa"/>
            <w:shd w:val="clear" w:color="auto" w:fill="808080" w:themeFill="background1" w:themeFillShade="80"/>
            <w:vAlign w:val="center"/>
          </w:tcPr>
          <w:p w14:paraId="73D6C330" w14:textId="77777777" w:rsidR="005F29A9" w:rsidRPr="005F29A9" w:rsidRDefault="005F29A9" w:rsidP="005F29A9">
            <w:pPr>
              <w:jc w:val="center"/>
              <w:rPr>
                <w:b/>
                <w:bCs/>
                <w:i/>
                <w:iCs/>
              </w:rPr>
            </w:pPr>
            <w:r w:rsidRPr="005F29A9">
              <w:rPr>
                <w:b/>
                <w:bCs/>
                <w:i/>
                <w:iCs/>
              </w:rPr>
              <w:t>Materiál</w:t>
            </w:r>
          </w:p>
        </w:tc>
        <w:tc>
          <w:tcPr>
            <w:tcW w:w="1911" w:type="dxa"/>
            <w:shd w:val="clear" w:color="auto" w:fill="808080" w:themeFill="background1" w:themeFillShade="80"/>
            <w:vAlign w:val="center"/>
          </w:tcPr>
          <w:p w14:paraId="110B074B" w14:textId="1AE26430" w:rsidR="005F29A9" w:rsidRPr="005F29A9" w:rsidRDefault="005F29A9" w:rsidP="005F29A9">
            <w:pPr>
              <w:jc w:val="center"/>
              <w:rPr>
                <w:b/>
                <w:bCs/>
                <w:i/>
                <w:iCs/>
              </w:rPr>
            </w:pPr>
            <w:r w:rsidRPr="005F29A9">
              <w:rPr>
                <w:b/>
                <w:bCs/>
                <w:i/>
                <w:iCs/>
              </w:rPr>
              <w:t>Ročná spotreba (t)</w:t>
            </w:r>
          </w:p>
        </w:tc>
      </w:tr>
      <w:tr w:rsidR="005F29A9" w:rsidRPr="00120D01" w14:paraId="05B5DEBB" w14:textId="77777777" w:rsidTr="005F29A9">
        <w:trPr>
          <w:cantSplit/>
        </w:trPr>
        <w:tc>
          <w:tcPr>
            <w:tcW w:w="7091" w:type="dxa"/>
            <w:vAlign w:val="center"/>
          </w:tcPr>
          <w:p w14:paraId="505F930F" w14:textId="77777777" w:rsidR="005F29A9" w:rsidRPr="004D5265" w:rsidRDefault="005F29A9" w:rsidP="005F29A9">
            <w:pPr>
              <w:jc w:val="center"/>
              <w:rPr>
                <w:rFonts w:cs="Arial"/>
              </w:rPr>
            </w:pPr>
            <w:r w:rsidRPr="004D5265">
              <w:rPr>
                <w:rFonts w:cs="Arial"/>
              </w:rPr>
              <w:t>Čistiaci prípravok na formy UNO S.F. BIO-CHEM</w:t>
            </w:r>
          </w:p>
        </w:tc>
        <w:tc>
          <w:tcPr>
            <w:tcW w:w="1911" w:type="dxa"/>
            <w:vAlign w:val="center"/>
          </w:tcPr>
          <w:p w14:paraId="7D9985FB" w14:textId="77777777" w:rsidR="005F29A9" w:rsidRPr="004D5265" w:rsidRDefault="005F29A9" w:rsidP="005F29A9">
            <w:pPr>
              <w:jc w:val="center"/>
              <w:rPr>
                <w:rFonts w:cs="Arial"/>
              </w:rPr>
            </w:pPr>
            <w:r w:rsidRPr="004D5265">
              <w:rPr>
                <w:rFonts w:cs="Arial"/>
              </w:rPr>
              <w:t>0,20</w:t>
            </w:r>
          </w:p>
        </w:tc>
      </w:tr>
      <w:tr w:rsidR="005F29A9" w:rsidRPr="00120D01" w14:paraId="5FD094EF" w14:textId="77777777" w:rsidTr="005F29A9">
        <w:trPr>
          <w:cantSplit/>
        </w:trPr>
        <w:tc>
          <w:tcPr>
            <w:tcW w:w="7091" w:type="dxa"/>
            <w:vAlign w:val="center"/>
          </w:tcPr>
          <w:p w14:paraId="2D2E58D1" w14:textId="77777777" w:rsidR="005F29A9" w:rsidRPr="004D5265" w:rsidRDefault="005F29A9" w:rsidP="005F29A9">
            <w:pPr>
              <w:jc w:val="center"/>
              <w:rPr>
                <w:rFonts w:cs="Arial"/>
              </w:rPr>
            </w:pPr>
            <w:r w:rsidRPr="004D5265">
              <w:rPr>
                <w:rFonts w:cs="Arial"/>
              </w:rPr>
              <w:t>GLEITMITTEL</w:t>
            </w:r>
          </w:p>
        </w:tc>
        <w:tc>
          <w:tcPr>
            <w:tcW w:w="1911" w:type="dxa"/>
            <w:vAlign w:val="center"/>
          </w:tcPr>
          <w:p w14:paraId="66121C32" w14:textId="77777777" w:rsidR="005F29A9" w:rsidRPr="004D5265" w:rsidRDefault="005F29A9" w:rsidP="005F29A9">
            <w:pPr>
              <w:jc w:val="center"/>
              <w:rPr>
                <w:rFonts w:cs="Arial"/>
              </w:rPr>
            </w:pPr>
            <w:r w:rsidRPr="004D5265">
              <w:rPr>
                <w:rFonts w:cs="Arial"/>
              </w:rPr>
              <w:t>1,20</w:t>
            </w:r>
          </w:p>
        </w:tc>
      </w:tr>
      <w:tr w:rsidR="005F29A9" w:rsidRPr="00120D01" w14:paraId="5E926571" w14:textId="77777777" w:rsidTr="005F29A9">
        <w:trPr>
          <w:cantSplit/>
        </w:trPr>
        <w:tc>
          <w:tcPr>
            <w:tcW w:w="7091" w:type="dxa"/>
            <w:vAlign w:val="center"/>
          </w:tcPr>
          <w:p w14:paraId="5FEE8ECE" w14:textId="77777777" w:rsidR="005F29A9" w:rsidRPr="004D5265" w:rsidRDefault="005F29A9" w:rsidP="005F29A9">
            <w:pPr>
              <w:jc w:val="center"/>
              <w:rPr>
                <w:rFonts w:cs="Arial"/>
              </w:rPr>
            </w:pPr>
            <w:r w:rsidRPr="004D5265">
              <w:rPr>
                <w:rFonts w:cs="Arial"/>
              </w:rPr>
              <w:t>SUPRAMET</w:t>
            </w:r>
          </w:p>
        </w:tc>
        <w:tc>
          <w:tcPr>
            <w:tcW w:w="1911" w:type="dxa"/>
            <w:vAlign w:val="center"/>
          </w:tcPr>
          <w:p w14:paraId="5DE969F3" w14:textId="77777777" w:rsidR="005F29A9" w:rsidRPr="004D5265" w:rsidRDefault="005F29A9" w:rsidP="005F29A9">
            <w:pPr>
              <w:jc w:val="center"/>
              <w:rPr>
                <w:rFonts w:cs="Arial"/>
              </w:rPr>
            </w:pPr>
            <w:r w:rsidRPr="004D5265">
              <w:rPr>
                <w:rFonts w:cs="Arial"/>
              </w:rPr>
              <w:t>2,50</w:t>
            </w:r>
          </w:p>
        </w:tc>
      </w:tr>
      <w:tr w:rsidR="005F29A9" w:rsidRPr="00120D01" w14:paraId="7B475F3F" w14:textId="77777777" w:rsidTr="005F29A9">
        <w:trPr>
          <w:cantSplit/>
        </w:trPr>
        <w:tc>
          <w:tcPr>
            <w:tcW w:w="7091" w:type="dxa"/>
            <w:vAlign w:val="center"/>
          </w:tcPr>
          <w:p w14:paraId="314A9BE9" w14:textId="77777777" w:rsidR="005F29A9" w:rsidRPr="004D5265" w:rsidRDefault="005F29A9" w:rsidP="005F29A9">
            <w:pPr>
              <w:jc w:val="center"/>
              <w:rPr>
                <w:rFonts w:cs="Arial"/>
              </w:rPr>
            </w:pPr>
            <w:r w:rsidRPr="004D5265">
              <w:rPr>
                <w:rFonts w:cs="Arial"/>
              </w:rPr>
              <w:t>CIRCO LIGHT</w:t>
            </w:r>
          </w:p>
        </w:tc>
        <w:tc>
          <w:tcPr>
            <w:tcW w:w="1911" w:type="dxa"/>
            <w:vAlign w:val="center"/>
          </w:tcPr>
          <w:p w14:paraId="164BF6CA" w14:textId="77777777" w:rsidR="005F29A9" w:rsidRPr="004D5265" w:rsidRDefault="005F29A9" w:rsidP="005F29A9">
            <w:pPr>
              <w:jc w:val="center"/>
              <w:rPr>
                <w:rFonts w:cs="Arial"/>
              </w:rPr>
            </w:pPr>
            <w:r w:rsidRPr="004D5265">
              <w:rPr>
                <w:rFonts w:cs="Arial"/>
              </w:rPr>
              <w:t>1,00</w:t>
            </w:r>
          </w:p>
        </w:tc>
      </w:tr>
      <w:tr w:rsidR="005F29A9" w:rsidRPr="00120D01" w14:paraId="532AA46C" w14:textId="77777777" w:rsidTr="005F29A9">
        <w:trPr>
          <w:cantSplit/>
        </w:trPr>
        <w:tc>
          <w:tcPr>
            <w:tcW w:w="7091" w:type="dxa"/>
            <w:vAlign w:val="center"/>
          </w:tcPr>
          <w:p w14:paraId="7C1DF91B" w14:textId="77777777" w:rsidR="005F29A9" w:rsidRPr="004D5265" w:rsidRDefault="005F29A9" w:rsidP="005F29A9">
            <w:pPr>
              <w:jc w:val="center"/>
              <w:rPr>
                <w:rFonts w:cs="Arial"/>
              </w:rPr>
            </w:pPr>
            <w:proofErr w:type="spellStart"/>
            <w:r w:rsidRPr="004D5265">
              <w:rPr>
                <w:rFonts w:cs="Arial"/>
              </w:rPr>
              <w:t>Proplachovací</w:t>
            </w:r>
            <w:proofErr w:type="spellEnd"/>
            <w:r w:rsidRPr="004D5265">
              <w:rPr>
                <w:rFonts w:cs="Arial"/>
              </w:rPr>
              <w:t xml:space="preserve"> prípravok chladiacich okruhov NP 435 CHEMSEARCH</w:t>
            </w:r>
          </w:p>
        </w:tc>
        <w:tc>
          <w:tcPr>
            <w:tcW w:w="1911" w:type="dxa"/>
            <w:vAlign w:val="center"/>
          </w:tcPr>
          <w:p w14:paraId="24EA7F84" w14:textId="77777777" w:rsidR="005F29A9" w:rsidRPr="004D5265" w:rsidRDefault="005F29A9" w:rsidP="005F29A9">
            <w:pPr>
              <w:jc w:val="center"/>
              <w:rPr>
                <w:rFonts w:cs="Arial"/>
              </w:rPr>
            </w:pPr>
            <w:r w:rsidRPr="004D5265">
              <w:rPr>
                <w:rFonts w:cs="Arial"/>
              </w:rPr>
              <w:t>0,15</w:t>
            </w:r>
          </w:p>
        </w:tc>
      </w:tr>
      <w:tr w:rsidR="005F29A9" w:rsidRPr="00120D01" w14:paraId="064B53F9" w14:textId="77777777" w:rsidTr="005F29A9">
        <w:trPr>
          <w:cantSplit/>
        </w:trPr>
        <w:tc>
          <w:tcPr>
            <w:tcW w:w="7091" w:type="dxa"/>
            <w:vAlign w:val="center"/>
          </w:tcPr>
          <w:p w14:paraId="25F2A94A" w14:textId="77777777" w:rsidR="005F29A9" w:rsidRPr="004D5265" w:rsidRDefault="005F29A9" w:rsidP="005F29A9">
            <w:pPr>
              <w:jc w:val="center"/>
              <w:rPr>
                <w:rFonts w:cs="Arial"/>
              </w:rPr>
            </w:pPr>
            <w:r w:rsidRPr="004D5265">
              <w:rPr>
                <w:rFonts w:cs="Arial"/>
              </w:rPr>
              <w:t>Odmasťovací prípravok na formy FOAM 0</w:t>
            </w:r>
          </w:p>
        </w:tc>
        <w:tc>
          <w:tcPr>
            <w:tcW w:w="1911" w:type="dxa"/>
            <w:vAlign w:val="center"/>
          </w:tcPr>
          <w:p w14:paraId="69553E7E" w14:textId="77777777" w:rsidR="005F29A9" w:rsidRPr="004D5265" w:rsidRDefault="005F29A9" w:rsidP="005F29A9">
            <w:pPr>
              <w:jc w:val="center"/>
              <w:rPr>
                <w:rFonts w:cs="Arial"/>
              </w:rPr>
            </w:pPr>
            <w:r w:rsidRPr="004D5265">
              <w:rPr>
                <w:rFonts w:cs="Arial"/>
              </w:rPr>
              <w:t>0,14</w:t>
            </w:r>
          </w:p>
        </w:tc>
      </w:tr>
      <w:tr w:rsidR="005F29A9" w:rsidRPr="00120D01" w14:paraId="5957ED58" w14:textId="77777777" w:rsidTr="005F29A9">
        <w:trPr>
          <w:cantSplit/>
        </w:trPr>
        <w:tc>
          <w:tcPr>
            <w:tcW w:w="7091" w:type="dxa"/>
            <w:vAlign w:val="center"/>
          </w:tcPr>
          <w:p w14:paraId="12E13606" w14:textId="77777777" w:rsidR="005F29A9" w:rsidRPr="004D5265" w:rsidRDefault="005F29A9" w:rsidP="005F29A9">
            <w:pPr>
              <w:jc w:val="center"/>
              <w:rPr>
                <w:rFonts w:cs="Arial"/>
              </w:rPr>
            </w:pPr>
            <w:r w:rsidRPr="004D5265">
              <w:rPr>
                <w:rFonts w:cs="Arial"/>
              </w:rPr>
              <w:t>Konzervačný prípravok na formy AMBERSIL – MOULD PROTECTIVE</w:t>
            </w:r>
          </w:p>
        </w:tc>
        <w:tc>
          <w:tcPr>
            <w:tcW w:w="1911" w:type="dxa"/>
            <w:vAlign w:val="center"/>
          </w:tcPr>
          <w:p w14:paraId="64E2515B" w14:textId="77777777" w:rsidR="005F29A9" w:rsidRPr="004D5265" w:rsidRDefault="005F29A9" w:rsidP="005F29A9">
            <w:pPr>
              <w:jc w:val="center"/>
              <w:rPr>
                <w:rFonts w:cs="Arial"/>
              </w:rPr>
            </w:pPr>
            <w:r w:rsidRPr="004D5265">
              <w:rPr>
                <w:rFonts w:cs="Arial"/>
              </w:rPr>
              <w:t>0,16</w:t>
            </w:r>
          </w:p>
        </w:tc>
      </w:tr>
      <w:tr w:rsidR="005F29A9" w:rsidRPr="00120D01" w14:paraId="6BE8E66B" w14:textId="77777777" w:rsidTr="005F29A9">
        <w:trPr>
          <w:cantSplit/>
        </w:trPr>
        <w:tc>
          <w:tcPr>
            <w:tcW w:w="7091" w:type="dxa"/>
            <w:vAlign w:val="center"/>
          </w:tcPr>
          <w:p w14:paraId="1D392848" w14:textId="77777777" w:rsidR="005F29A9" w:rsidRPr="004D5265" w:rsidRDefault="005F29A9" w:rsidP="005F29A9">
            <w:pPr>
              <w:jc w:val="center"/>
              <w:rPr>
                <w:rFonts w:cs="Arial"/>
              </w:rPr>
            </w:pPr>
            <w:r w:rsidRPr="004D5265">
              <w:rPr>
                <w:rFonts w:cs="Arial"/>
              </w:rPr>
              <w:t>Čistiaci prípravok na formy MOULD CLEANER</w:t>
            </w:r>
          </w:p>
        </w:tc>
        <w:tc>
          <w:tcPr>
            <w:tcW w:w="1911" w:type="dxa"/>
            <w:vAlign w:val="center"/>
          </w:tcPr>
          <w:p w14:paraId="34CB076E" w14:textId="77777777" w:rsidR="005F29A9" w:rsidRPr="004D5265" w:rsidRDefault="005F29A9" w:rsidP="005F29A9">
            <w:pPr>
              <w:jc w:val="center"/>
              <w:rPr>
                <w:rFonts w:cs="Arial"/>
              </w:rPr>
            </w:pPr>
            <w:r w:rsidRPr="004D5265">
              <w:rPr>
                <w:rFonts w:cs="Arial"/>
              </w:rPr>
              <w:t>0,10</w:t>
            </w:r>
          </w:p>
        </w:tc>
      </w:tr>
      <w:tr w:rsidR="005F29A9" w:rsidRPr="00120D01" w14:paraId="3DAF26AF" w14:textId="77777777" w:rsidTr="005F29A9">
        <w:trPr>
          <w:cantSplit/>
        </w:trPr>
        <w:tc>
          <w:tcPr>
            <w:tcW w:w="7091" w:type="dxa"/>
            <w:vAlign w:val="center"/>
          </w:tcPr>
          <w:p w14:paraId="60DC8072" w14:textId="77777777" w:rsidR="005F29A9" w:rsidRPr="004D5265" w:rsidRDefault="005F29A9" w:rsidP="005F29A9">
            <w:pPr>
              <w:jc w:val="center"/>
              <w:rPr>
                <w:rFonts w:cs="Arial"/>
              </w:rPr>
            </w:pPr>
            <w:r w:rsidRPr="004D5265">
              <w:rPr>
                <w:rFonts w:cs="Arial"/>
              </w:rPr>
              <w:t xml:space="preserve">Mazivo na </w:t>
            </w:r>
            <w:proofErr w:type="spellStart"/>
            <w:r w:rsidRPr="004D5265">
              <w:rPr>
                <w:rFonts w:cs="Arial"/>
              </w:rPr>
              <w:t>vyhazovače</w:t>
            </w:r>
            <w:proofErr w:type="spellEnd"/>
            <w:r w:rsidRPr="004D5265">
              <w:rPr>
                <w:rFonts w:cs="Arial"/>
              </w:rPr>
              <w:t xml:space="preserve"> LUSIN LUB PZO 152</w:t>
            </w:r>
          </w:p>
        </w:tc>
        <w:tc>
          <w:tcPr>
            <w:tcW w:w="1911" w:type="dxa"/>
            <w:vAlign w:val="center"/>
          </w:tcPr>
          <w:p w14:paraId="06386CB6" w14:textId="77777777" w:rsidR="005F29A9" w:rsidRPr="004D5265" w:rsidRDefault="005F29A9" w:rsidP="005F29A9">
            <w:pPr>
              <w:jc w:val="center"/>
              <w:rPr>
                <w:rFonts w:cs="Arial"/>
              </w:rPr>
            </w:pPr>
            <w:r w:rsidRPr="004D5265">
              <w:rPr>
                <w:rFonts w:cs="Arial"/>
              </w:rPr>
              <w:t>0,06</w:t>
            </w:r>
          </w:p>
        </w:tc>
      </w:tr>
      <w:tr w:rsidR="005F29A9" w:rsidRPr="00120D01" w14:paraId="286DAF38" w14:textId="77777777" w:rsidTr="005F29A9">
        <w:trPr>
          <w:cantSplit/>
        </w:trPr>
        <w:tc>
          <w:tcPr>
            <w:tcW w:w="7091" w:type="dxa"/>
            <w:vAlign w:val="center"/>
          </w:tcPr>
          <w:p w14:paraId="036BD3A1" w14:textId="77777777" w:rsidR="005F29A9" w:rsidRPr="004D5265" w:rsidRDefault="005F29A9" w:rsidP="005F29A9">
            <w:pPr>
              <w:jc w:val="center"/>
              <w:rPr>
                <w:rFonts w:cs="Arial"/>
              </w:rPr>
            </w:pPr>
            <w:r w:rsidRPr="004D5265">
              <w:rPr>
                <w:rFonts w:cs="Arial"/>
              </w:rPr>
              <w:t>Hydraulický olej HLP 46</w:t>
            </w:r>
          </w:p>
        </w:tc>
        <w:tc>
          <w:tcPr>
            <w:tcW w:w="1911" w:type="dxa"/>
            <w:vAlign w:val="center"/>
          </w:tcPr>
          <w:p w14:paraId="5AA288F9" w14:textId="77777777" w:rsidR="005F29A9" w:rsidRPr="004D5265" w:rsidRDefault="005F29A9" w:rsidP="005F29A9">
            <w:pPr>
              <w:jc w:val="center"/>
              <w:rPr>
                <w:rFonts w:cs="Arial"/>
              </w:rPr>
            </w:pPr>
            <w:r w:rsidRPr="004D5265">
              <w:rPr>
                <w:rFonts w:cs="Arial"/>
              </w:rPr>
              <w:t>2,00</w:t>
            </w:r>
          </w:p>
        </w:tc>
      </w:tr>
    </w:tbl>
    <w:p w14:paraId="54D172C4" w14:textId="77777777" w:rsidR="005F29A9" w:rsidRPr="000C105F" w:rsidRDefault="005F29A9" w:rsidP="000C105F">
      <w:pPr>
        <w:rPr>
          <w:b/>
        </w:rPr>
      </w:pPr>
    </w:p>
    <w:p w14:paraId="0973E084" w14:textId="20F27004" w:rsidR="000C105F" w:rsidRDefault="000C105F" w:rsidP="000B75BC">
      <w:pPr>
        <w:rPr>
          <w:b/>
        </w:rPr>
      </w:pPr>
      <w:r w:rsidRPr="000C105F">
        <w:rPr>
          <w:b/>
        </w:rPr>
        <w:t>Doprava</w:t>
      </w:r>
    </w:p>
    <w:p w14:paraId="57A3F69A" w14:textId="08749C4A" w:rsidR="00304320" w:rsidRPr="007565E8" w:rsidRDefault="00304320" w:rsidP="00304320">
      <w:r w:rsidRPr="007565E8">
        <w:t>Navrhovaná činnosť bude klásť nároky na nákladnú dopravu, ako aj prepravu pracovníkov do zamestnania, preto sú tieto dopravné nároky diskutované v samostatných podkapitolách.</w:t>
      </w:r>
      <w:r w:rsidR="00606EB1">
        <w:t xml:space="preserve"> Všetka doprava bude realizovaná po jedinej prístupovej komunikácii, ceste I/65, ktorá predstavuje mimoriadne výhodné napojenie areálu priamo na rýchlostnú cestu R1 bez nutnosti </w:t>
      </w:r>
      <w:r w:rsidR="00606EB1">
        <w:lastRenderedPageBreak/>
        <w:t>prejazdu cez sídelnú časť mesta Nová Baňa. Z tohto dôvodu sú významne znížené akékoľvek sprievodné vplyvy dopravy súvisiacej s navrhovanou zmenou činnosti na obyvateľstvo mesta.</w:t>
      </w:r>
    </w:p>
    <w:p w14:paraId="483845DD" w14:textId="77777777" w:rsidR="00304320" w:rsidRDefault="00304320" w:rsidP="00304320"/>
    <w:p w14:paraId="31DD19E9" w14:textId="77777777" w:rsidR="00304320" w:rsidRPr="002C2085" w:rsidRDefault="00304320" w:rsidP="00304320">
      <w:pPr>
        <w:rPr>
          <w:i/>
          <w:iCs/>
          <w:u w:val="single"/>
        </w:rPr>
      </w:pPr>
      <w:r w:rsidRPr="002C2085">
        <w:rPr>
          <w:i/>
          <w:iCs/>
          <w:u w:val="single"/>
        </w:rPr>
        <w:t>Bilancia nákladnej dopravy</w:t>
      </w:r>
    </w:p>
    <w:p w14:paraId="0A37C555" w14:textId="77777777" w:rsidR="00304320" w:rsidRDefault="00304320" w:rsidP="00304320">
      <w:r w:rsidRPr="00E35A06">
        <w:t xml:space="preserve">Nákladná doprava je spojená so zabezpečením vstupných surovín, prípadne ďalších pomocných materiálov, resp. vývozu výrobkov z budúcej prevádzky. Na túto dopravu sa budú využívať nákladné vozidlá nad 3,5 tony a v menšej miere aj úžitkové vozidlá do 3,5 tony. </w:t>
      </w:r>
    </w:p>
    <w:p w14:paraId="7915D925" w14:textId="77777777" w:rsidR="00D73CCA" w:rsidRDefault="00304320" w:rsidP="00304320">
      <w:r>
        <w:t xml:space="preserve">Nároky na dopravu spojené s pôvodnou výrobou nebudú touto činnosťou narušené. </w:t>
      </w:r>
      <w:r w:rsidR="00096356" w:rsidRPr="00096356">
        <w:t>Táto predstavuje v súčasnosti približne  600 nákladných automobilov ročne pre dodávanie vstupných surovín a približne 2000 automobilov pre odvoz produktu.</w:t>
      </w:r>
      <w:r w:rsidR="00096356">
        <w:t xml:space="preserve"> Pri fonde pracovnej doby 251 dní ročne toto predstavuje celkovo 11 nákladných automobilov teda 22 prejazdov denne.</w:t>
      </w:r>
      <w:r>
        <w:t xml:space="preserve"> </w:t>
      </w:r>
      <w:r w:rsidR="00096356">
        <w:t>Po navýšení kapacity výroby na dvojnásobok vzrastú zároveň aj nároky na dopravu</w:t>
      </w:r>
      <w:r w:rsidR="00D73CCA">
        <w:t xml:space="preserve"> a to tiež na dvojnásobok</w:t>
      </w:r>
      <w:r w:rsidR="00096356">
        <w:t xml:space="preserve">. </w:t>
      </w:r>
    </w:p>
    <w:p w14:paraId="1899FE83" w14:textId="4CC33D5C" w:rsidR="00304320" w:rsidRDefault="00304320" w:rsidP="00304320">
      <w:r w:rsidRPr="00E35A06">
        <w:t xml:space="preserve">Jedná sa o najnepriaznivejší odhad, nakoľko v skutočnosti sa logistika dopravy plánuje tak aby boli vozidlá vyťažené podľa možnosti pri ceste tam aj späť. </w:t>
      </w:r>
      <w:r w:rsidRPr="00634A64">
        <w:t xml:space="preserve">Jedná sa o konzervatívny odhad, kedy sa do úvahy berie najnepriaznivejší stav. V skutočnosti sa budú nároky na dopravu v čase meniť v závislosti od organizácie výroby a požiadaviek odberateľov a reálne možno očakávať nižšie dopravné zaťaženie v súvislosti s prevádzkou navrhovanej činnosti vzhľadom na snahu prevádzkovateľa o maximalizáciu logistiky a znižovanie finančných nákladov spojených s prepravou. </w:t>
      </w:r>
      <w:r>
        <w:t xml:space="preserve">Doprava bude realizovaná len v pracovných dňoch v bežnom pracovnom čase. </w:t>
      </w:r>
      <w:r w:rsidRPr="00634A64">
        <w:t>V porovnaní s jestvujúcim dopravným zaťažením na predpokladaných dopravných trasách konštatujeme že príspevok navrhovanej činnosti je na úrovni štatistickej odchýlky od skutočných hodnôt a nie je významný.</w:t>
      </w:r>
      <w:r>
        <w:t xml:space="preserve"> </w:t>
      </w:r>
    </w:p>
    <w:p w14:paraId="66C596A5" w14:textId="77777777" w:rsidR="00304320" w:rsidRDefault="00304320" w:rsidP="00304320"/>
    <w:p w14:paraId="4531147A" w14:textId="77777777" w:rsidR="00304320" w:rsidRPr="002C2085" w:rsidRDefault="00304320" w:rsidP="00304320">
      <w:pPr>
        <w:rPr>
          <w:rFonts w:asciiTheme="majorHAnsi" w:hAnsiTheme="majorHAnsi"/>
          <w:i/>
          <w:iCs/>
          <w:u w:val="single"/>
        </w:rPr>
      </w:pPr>
      <w:r w:rsidRPr="002C2085">
        <w:rPr>
          <w:i/>
          <w:iCs/>
          <w:u w:val="single"/>
        </w:rPr>
        <w:t>Bilancia osobnej dopravy</w:t>
      </w:r>
      <w:r w:rsidRPr="002C2085">
        <w:rPr>
          <w:rFonts w:asciiTheme="majorHAnsi" w:hAnsiTheme="majorHAnsi"/>
          <w:i/>
          <w:iCs/>
          <w:u w:val="single"/>
        </w:rPr>
        <w:t xml:space="preserve"> </w:t>
      </w:r>
      <w:r w:rsidRPr="002C2085">
        <w:rPr>
          <w:i/>
          <w:iCs/>
          <w:u w:val="single"/>
        </w:rPr>
        <w:t>zamestnancov</w:t>
      </w:r>
    </w:p>
    <w:p w14:paraId="119B0EF9" w14:textId="505EB831" w:rsidR="00304320" w:rsidRDefault="00304320" w:rsidP="00304320">
      <w:r>
        <w:t xml:space="preserve">Pri výpočte bilancie zaťaženia osobnou dopravou zamestnancov vychádzame z údajov o počte zamestnancov, ktorý už v súčasnosti pracujú na dotknutej prevádzke spoločnosti </w:t>
      </w:r>
      <w:proofErr w:type="spellStart"/>
      <w:r w:rsidR="00D73CCA">
        <w:t>Tristone</w:t>
      </w:r>
      <w:proofErr w:type="spellEnd"/>
      <w:r w:rsidR="00D73CCA">
        <w:t xml:space="preserve"> </w:t>
      </w:r>
      <w:proofErr w:type="spellStart"/>
      <w:r w:rsidR="00D73CCA">
        <w:t>Flowtech</w:t>
      </w:r>
      <w:proofErr w:type="spellEnd"/>
      <w:r w:rsidR="00D73CCA">
        <w:t>, s.r.o.</w:t>
      </w:r>
      <w:r>
        <w:t xml:space="preserve"> ako aj z údajov o predpokladanom náraste nových zamestnancov spôsobený realizáciou zmeny činnosti opisovanou v predkladanom Oznámení.</w:t>
      </w:r>
    </w:p>
    <w:p w14:paraId="5CCD1CBF" w14:textId="77777777" w:rsidR="003D187D" w:rsidRPr="00220CE5" w:rsidRDefault="003D187D" w:rsidP="00304320"/>
    <w:p w14:paraId="049A1BCF" w14:textId="058AC698" w:rsidR="00304320" w:rsidRDefault="00304320" w:rsidP="00304320">
      <w:pPr>
        <w:pStyle w:val="Popis"/>
        <w:keepNext/>
      </w:pPr>
      <w:bookmarkStart w:id="18" w:name="_Toc30497433"/>
      <w:r>
        <w:t xml:space="preserve">Tab. </w:t>
      </w:r>
      <w:r>
        <w:fldChar w:fldCharType="begin"/>
      </w:r>
      <w:r>
        <w:instrText xml:space="preserve"> SEQ Tab. \* ARABIC </w:instrText>
      </w:r>
      <w:r>
        <w:fldChar w:fldCharType="separate"/>
      </w:r>
      <w:r w:rsidR="00467FCC">
        <w:rPr>
          <w:noProof/>
        </w:rPr>
        <w:t>10</w:t>
      </w:r>
      <w:r>
        <w:fldChar w:fldCharType="end"/>
      </w:r>
      <w:r>
        <w:t xml:space="preserve"> – Bilancia zmeny počtu pracovníkov</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90"/>
        <w:gridCol w:w="2253"/>
        <w:gridCol w:w="2246"/>
      </w:tblGrid>
      <w:tr w:rsidR="00304320" w:rsidRPr="007C39F6" w14:paraId="2C800F65" w14:textId="77777777" w:rsidTr="008C01F0">
        <w:trPr>
          <w:tblHeader/>
        </w:trPr>
        <w:tc>
          <w:tcPr>
            <w:tcW w:w="2273" w:type="dxa"/>
            <w:shd w:val="clear" w:color="auto" w:fill="808080" w:themeFill="background1" w:themeFillShade="80"/>
            <w:vAlign w:val="center"/>
          </w:tcPr>
          <w:p w14:paraId="27299444" w14:textId="77777777" w:rsidR="00304320" w:rsidRPr="007C39F6" w:rsidRDefault="00304320" w:rsidP="008C01F0">
            <w:pPr>
              <w:jc w:val="center"/>
              <w:rPr>
                <w:rFonts w:cs="Calibri"/>
                <w:b/>
              </w:rPr>
            </w:pPr>
          </w:p>
        </w:tc>
        <w:tc>
          <w:tcPr>
            <w:tcW w:w="2290" w:type="dxa"/>
            <w:shd w:val="clear" w:color="auto" w:fill="808080" w:themeFill="background1" w:themeFillShade="80"/>
            <w:vAlign w:val="center"/>
          </w:tcPr>
          <w:p w14:paraId="0129B3CC" w14:textId="77777777" w:rsidR="00304320" w:rsidRPr="007C39F6" w:rsidRDefault="00304320" w:rsidP="008C01F0">
            <w:pPr>
              <w:jc w:val="center"/>
              <w:rPr>
                <w:rFonts w:cs="Calibri"/>
                <w:b/>
              </w:rPr>
            </w:pPr>
            <w:r>
              <w:rPr>
                <w:rFonts w:cs="Calibri"/>
                <w:b/>
              </w:rPr>
              <w:t>Počet pracovníkov pred zmenou činnosti</w:t>
            </w:r>
          </w:p>
        </w:tc>
        <w:tc>
          <w:tcPr>
            <w:tcW w:w="2253" w:type="dxa"/>
            <w:shd w:val="clear" w:color="auto" w:fill="808080" w:themeFill="background1" w:themeFillShade="80"/>
            <w:vAlign w:val="center"/>
          </w:tcPr>
          <w:p w14:paraId="37E34A57" w14:textId="77777777" w:rsidR="00304320" w:rsidRPr="007C39F6" w:rsidRDefault="00304320" w:rsidP="008C01F0">
            <w:pPr>
              <w:jc w:val="center"/>
              <w:rPr>
                <w:rFonts w:cs="Calibri"/>
                <w:b/>
              </w:rPr>
            </w:pPr>
            <w:r>
              <w:rPr>
                <w:rFonts w:cs="Calibri"/>
                <w:b/>
              </w:rPr>
              <w:t>Nárast počtu pracovníkov v dôsledku zmeny</w:t>
            </w:r>
          </w:p>
        </w:tc>
        <w:tc>
          <w:tcPr>
            <w:tcW w:w="2246" w:type="dxa"/>
            <w:shd w:val="clear" w:color="auto" w:fill="808080" w:themeFill="background1" w:themeFillShade="80"/>
            <w:vAlign w:val="center"/>
          </w:tcPr>
          <w:p w14:paraId="25A7AC0C" w14:textId="77777777" w:rsidR="00304320" w:rsidRPr="007C39F6" w:rsidRDefault="00304320" w:rsidP="008C01F0">
            <w:pPr>
              <w:jc w:val="center"/>
              <w:rPr>
                <w:rFonts w:cs="Calibri"/>
                <w:b/>
              </w:rPr>
            </w:pPr>
            <w:r>
              <w:rPr>
                <w:rFonts w:cs="Calibri"/>
                <w:b/>
              </w:rPr>
              <w:t>Počet pracovníkov po zmene činnosti</w:t>
            </w:r>
          </w:p>
        </w:tc>
      </w:tr>
      <w:tr w:rsidR="00304320" w:rsidRPr="007C39F6" w14:paraId="5E7F78B4" w14:textId="77777777" w:rsidTr="008C01F0">
        <w:tc>
          <w:tcPr>
            <w:tcW w:w="2273" w:type="dxa"/>
            <w:vAlign w:val="center"/>
          </w:tcPr>
          <w:p w14:paraId="47DB50A9" w14:textId="77777777" w:rsidR="00304320" w:rsidRPr="007C39F6" w:rsidRDefault="00304320" w:rsidP="008C01F0">
            <w:pPr>
              <w:jc w:val="center"/>
              <w:rPr>
                <w:rFonts w:cs="Calibri"/>
              </w:rPr>
            </w:pPr>
            <w:r>
              <w:rPr>
                <w:rFonts w:cs="Calibri"/>
              </w:rPr>
              <w:t>Pracovníci prevádzky</w:t>
            </w:r>
          </w:p>
        </w:tc>
        <w:tc>
          <w:tcPr>
            <w:tcW w:w="2290" w:type="dxa"/>
            <w:vAlign w:val="center"/>
          </w:tcPr>
          <w:p w14:paraId="43B23B5C" w14:textId="1D0A91E3" w:rsidR="00304320" w:rsidRPr="007C39F6" w:rsidRDefault="00D73CCA" w:rsidP="008C01F0">
            <w:pPr>
              <w:jc w:val="center"/>
              <w:rPr>
                <w:rFonts w:cs="Calibri"/>
              </w:rPr>
            </w:pPr>
            <w:r>
              <w:rPr>
                <w:rFonts w:cs="Calibri"/>
              </w:rPr>
              <w:t>103</w:t>
            </w:r>
          </w:p>
        </w:tc>
        <w:tc>
          <w:tcPr>
            <w:tcW w:w="2253" w:type="dxa"/>
            <w:vAlign w:val="center"/>
          </w:tcPr>
          <w:p w14:paraId="279C1BB4" w14:textId="5E8693D8" w:rsidR="00304320" w:rsidRPr="007C39F6" w:rsidRDefault="00D73CCA" w:rsidP="008C01F0">
            <w:pPr>
              <w:jc w:val="center"/>
              <w:rPr>
                <w:rFonts w:cs="Calibri"/>
              </w:rPr>
            </w:pPr>
            <w:r>
              <w:rPr>
                <w:rFonts w:cs="Calibri"/>
              </w:rPr>
              <w:t>175</w:t>
            </w:r>
          </w:p>
        </w:tc>
        <w:tc>
          <w:tcPr>
            <w:tcW w:w="2246" w:type="dxa"/>
            <w:vAlign w:val="center"/>
          </w:tcPr>
          <w:p w14:paraId="2ADF95B8" w14:textId="749D2D96" w:rsidR="00304320" w:rsidRPr="007C39F6" w:rsidRDefault="00D73CCA" w:rsidP="008C01F0">
            <w:pPr>
              <w:jc w:val="center"/>
              <w:rPr>
                <w:rFonts w:cs="Calibri"/>
              </w:rPr>
            </w:pPr>
            <w:r>
              <w:rPr>
                <w:rFonts w:cs="Calibri"/>
              </w:rPr>
              <w:t>278</w:t>
            </w:r>
          </w:p>
        </w:tc>
      </w:tr>
    </w:tbl>
    <w:p w14:paraId="5B466875" w14:textId="77777777" w:rsidR="00304320" w:rsidRDefault="00304320" w:rsidP="00304320"/>
    <w:p w14:paraId="37222CE4" w14:textId="43D4A946" w:rsidR="00304320" w:rsidRDefault="00304320" w:rsidP="00304320">
      <w:r>
        <w:t xml:space="preserve">Osobná doprava zamestnancov je v súčasnom stave a bude aj po realizácii zmeny riešená v ich vlastnej réžii. V bilancii osobnej dopravy uvažujeme najnepriaznivejší variant - </w:t>
      </w:r>
      <w:r w:rsidRPr="00634A64">
        <w:rPr>
          <w:rFonts w:cs="Calibri"/>
        </w:rPr>
        <w:t>samostatné dochádzanie zamestnancov, každý vlastným motorovým vozidlom</w:t>
      </w:r>
      <w:r>
        <w:t xml:space="preserve">. </w:t>
      </w:r>
    </w:p>
    <w:p w14:paraId="3520FF3F" w14:textId="77777777" w:rsidR="00304320" w:rsidRDefault="00304320" w:rsidP="00304320"/>
    <w:p w14:paraId="4DECD440" w14:textId="61AB39F3" w:rsidR="00304320" w:rsidRDefault="00304320" w:rsidP="00304320">
      <w:pPr>
        <w:pStyle w:val="Popis"/>
        <w:keepNext/>
      </w:pPr>
      <w:bookmarkStart w:id="19" w:name="_Toc30497434"/>
      <w:r>
        <w:t xml:space="preserve">Tab. </w:t>
      </w:r>
      <w:r>
        <w:fldChar w:fldCharType="begin"/>
      </w:r>
      <w:r>
        <w:instrText xml:space="preserve"> SEQ Tab. \* ARABIC </w:instrText>
      </w:r>
      <w:r>
        <w:fldChar w:fldCharType="separate"/>
      </w:r>
      <w:r w:rsidR="00467FCC">
        <w:rPr>
          <w:noProof/>
        </w:rPr>
        <w:t>11</w:t>
      </w:r>
      <w:r>
        <w:fldChar w:fldCharType="end"/>
      </w:r>
      <w:r>
        <w:t xml:space="preserve"> – Bilancia osobnej dopravy</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D73CCA" w:rsidRPr="007C39F6" w14:paraId="0B302AE6" w14:textId="77777777" w:rsidTr="00D73CCA">
        <w:trPr>
          <w:tblHeader/>
        </w:trPr>
        <w:tc>
          <w:tcPr>
            <w:tcW w:w="2259" w:type="dxa"/>
            <w:shd w:val="clear" w:color="auto" w:fill="808080" w:themeFill="background1" w:themeFillShade="80"/>
            <w:vAlign w:val="center"/>
          </w:tcPr>
          <w:p w14:paraId="11977637" w14:textId="77777777" w:rsidR="00D73CCA" w:rsidRPr="00F11AA5" w:rsidRDefault="00D73CCA" w:rsidP="008C01F0">
            <w:pPr>
              <w:jc w:val="center"/>
              <w:rPr>
                <w:rFonts w:cs="Calibri"/>
                <w:b/>
                <w:sz w:val="20"/>
                <w:szCs w:val="20"/>
              </w:rPr>
            </w:pPr>
          </w:p>
        </w:tc>
        <w:tc>
          <w:tcPr>
            <w:tcW w:w="2260" w:type="dxa"/>
            <w:shd w:val="clear" w:color="auto" w:fill="808080" w:themeFill="background1" w:themeFillShade="80"/>
            <w:vAlign w:val="center"/>
          </w:tcPr>
          <w:p w14:paraId="7A9EE316" w14:textId="77777777" w:rsidR="00D73CCA" w:rsidRPr="00F11AA5" w:rsidRDefault="00D73CCA" w:rsidP="008C01F0">
            <w:pPr>
              <w:jc w:val="center"/>
              <w:rPr>
                <w:rFonts w:cs="Calibri"/>
                <w:b/>
                <w:sz w:val="20"/>
                <w:szCs w:val="20"/>
              </w:rPr>
            </w:pPr>
            <w:r w:rsidRPr="00F11AA5">
              <w:rPr>
                <w:rFonts w:cs="Calibri"/>
                <w:b/>
                <w:sz w:val="20"/>
                <w:szCs w:val="20"/>
              </w:rPr>
              <w:t>Dopravné zaťaženie osobnou dopravou pred zmenou činnosti</w:t>
            </w:r>
          </w:p>
        </w:tc>
        <w:tc>
          <w:tcPr>
            <w:tcW w:w="2260" w:type="dxa"/>
            <w:shd w:val="clear" w:color="auto" w:fill="808080" w:themeFill="background1" w:themeFillShade="80"/>
            <w:vAlign w:val="center"/>
          </w:tcPr>
          <w:p w14:paraId="3C7AAB4B" w14:textId="77777777" w:rsidR="00D73CCA" w:rsidRPr="00F11AA5" w:rsidRDefault="00D73CCA" w:rsidP="008C01F0">
            <w:pPr>
              <w:jc w:val="center"/>
              <w:rPr>
                <w:rFonts w:cs="Calibri"/>
                <w:b/>
                <w:sz w:val="20"/>
                <w:szCs w:val="20"/>
              </w:rPr>
            </w:pPr>
            <w:r w:rsidRPr="00F11AA5">
              <w:rPr>
                <w:rFonts w:cs="Calibri"/>
                <w:b/>
                <w:sz w:val="20"/>
                <w:szCs w:val="20"/>
              </w:rPr>
              <w:t>Dopravné zaťaženie osobnou dopravou v dôsledku zmeny</w:t>
            </w:r>
          </w:p>
        </w:tc>
        <w:tc>
          <w:tcPr>
            <w:tcW w:w="2260" w:type="dxa"/>
            <w:shd w:val="clear" w:color="auto" w:fill="808080" w:themeFill="background1" w:themeFillShade="80"/>
            <w:vAlign w:val="center"/>
          </w:tcPr>
          <w:p w14:paraId="490A3017" w14:textId="77777777" w:rsidR="00D73CCA" w:rsidRPr="00F11AA5" w:rsidRDefault="00D73CCA" w:rsidP="008C01F0">
            <w:pPr>
              <w:jc w:val="center"/>
              <w:rPr>
                <w:rFonts w:cs="Calibri"/>
                <w:b/>
                <w:sz w:val="20"/>
                <w:szCs w:val="20"/>
              </w:rPr>
            </w:pPr>
            <w:r w:rsidRPr="00F11AA5">
              <w:rPr>
                <w:rFonts w:cs="Calibri"/>
                <w:b/>
                <w:sz w:val="20"/>
                <w:szCs w:val="20"/>
              </w:rPr>
              <w:t>Dopravné zaťaženie osobnou dopravou po zmene činnosti</w:t>
            </w:r>
          </w:p>
        </w:tc>
      </w:tr>
      <w:tr w:rsidR="00D73CCA" w:rsidRPr="007C39F6" w14:paraId="55B7886F" w14:textId="77777777" w:rsidTr="00D73CCA">
        <w:tc>
          <w:tcPr>
            <w:tcW w:w="2259" w:type="dxa"/>
            <w:vAlign w:val="center"/>
          </w:tcPr>
          <w:p w14:paraId="51EA69CF" w14:textId="77777777" w:rsidR="00D73CCA" w:rsidRPr="00F11AA5" w:rsidRDefault="00D73CCA" w:rsidP="008C01F0">
            <w:pPr>
              <w:jc w:val="center"/>
              <w:rPr>
                <w:rFonts w:cs="Calibri"/>
                <w:sz w:val="20"/>
                <w:szCs w:val="20"/>
              </w:rPr>
            </w:pPr>
            <w:r w:rsidRPr="00F11AA5">
              <w:rPr>
                <w:rFonts w:cs="Calibri"/>
                <w:sz w:val="20"/>
                <w:szCs w:val="20"/>
              </w:rPr>
              <w:t>Počet vozidiel</w:t>
            </w:r>
          </w:p>
        </w:tc>
        <w:tc>
          <w:tcPr>
            <w:tcW w:w="2260" w:type="dxa"/>
            <w:vAlign w:val="center"/>
          </w:tcPr>
          <w:p w14:paraId="28EA0324" w14:textId="66BA4E32" w:rsidR="00D73CCA" w:rsidRPr="00F11AA5" w:rsidRDefault="00D73CCA" w:rsidP="008C01F0">
            <w:pPr>
              <w:jc w:val="center"/>
              <w:rPr>
                <w:rFonts w:cs="Calibri"/>
                <w:sz w:val="20"/>
                <w:szCs w:val="20"/>
              </w:rPr>
            </w:pPr>
            <w:r>
              <w:rPr>
                <w:rFonts w:cs="Calibri"/>
                <w:sz w:val="20"/>
                <w:szCs w:val="20"/>
              </w:rPr>
              <w:t>103</w:t>
            </w:r>
          </w:p>
        </w:tc>
        <w:tc>
          <w:tcPr>
            <w:tcW w:w="2260" w:type="dxa"/>
            <w:vAlign w:val="center"/>
          </w:tcPr>
          <w:p w14:paraId="348746DC" w14:textId="7FADA147" w:rsidR="00D73CCA" w:rsidRPr="00F11AA5" w:rsidRDefault="00D73CCA" w:rsidP="008C01F0">
            <w:pPr>
              <w:jc w:val="center"/>
              <w:rPr>
                <w:rFonts w:cs="Calibri"/>
                <w:sz w:val="20"/>
                <w:szCs w:val="20"/>
              </w:rPr>
            </w:pPr>
            <w:r>
              <w:rPr>
                <w:rFonts w:cs="Calibri"/>
                <w:sz w:val="20"/>
                <w:szCs w:val="20"/>
              </w:rPr>
              <w:t>175</w:t>
            </w:r>
          </w:p>
        </w:tc>
        <w:tc>
          <w:tcPr>
            <w:tcW w:w="2260" w:type="dxa"/>
            <w:vAlign w:val="center"/>
          </w:tcPr>
          <w:p w14:paraId="44B6240A" w14:textId="57C5C5AF" w:rsidR="00D73CCA" w:rsidRPr="00F11AA5" w:rsidRDefault="00D73CCA" w:rsidP="008C01F0">
            <w:pPr>
              <w:jc w:val="center"/>
              <w:rPr>
                <w:rFonts w:cs="Calibri"/>
                <w:sz w:val="20"/>
                <w:szCs w:val="20"/>
              </w:rPr>
            </w:pPr>
            <w:r>
              <w:rPr>
                <w:rFonts w:cs="Calibri"/>
                <w:sz w:val="20"/>
                <w:szCs w:val="20"/>
              </w:rPr>
              <w:t>278</w:t>
            </w:r>
          </w:p>
        </w:tc>
      </w:tr>
      <w:tr w:rsidR="00D73CCA" w:rsidRPr="007C39F6" w14:paraId="7F489510" w14:textId="77777777" w:rsidTr="00D73CCA">
        <w:tc>
          <w:tcPr>
            <w:tcW w:w="2259" w:type="dxa"/>
            <w:vAlign w:val="center"/>
          </w:tcPr>
          <w:p w14:paraId="7CF9E762" w14:textId="77777777" w:rsidR="00D73CCA" w:rsidRPr="00F11AA5" w:rsidRDefault="00D73CCA" w:rsidP="008C01F0">
            <w:pPr>
              <w:jc w:val="center"/>
              <w:rPr>
                <w:rFonts w:cs="Calibri"/>
                <w:sz w:val="20"/>
                <w:szCs w:val="20"/>
              </w:rPr>
            </w:pPr>
            <w:r w:rsidRPr="00F11AA5">
              <w:rPr>
                <w:rFonts w:cs="Calibri"/>
                <w:sz w:val="20"/>
                <w:szCs w:val="20"/>
              </w:rPr>
              <w:t>Počet jázd</w:t>
            </w:r>
          </w:p>
        </w:tc>
        <w:tc>
          <w:tcPr>
            <w:tcW w:w="2260" w:type="dxa"/>
            <w:vAlign w:val="center"/>
          </w:tcPr>
          <w:p w14:paraId="1A2E8B5F" w14:textId="6892EBB9" w:rsidR="00D73CCA" w:rsidRPr="00F11AA5" w:rsidRDefault="00D73CCA" w:rsidP="008C01F0">
            <w:pPr>
              <w:jc w:val="center"/>
              <w:rPr>
                <w:rFonts w:cs="Calibri"/>
                <w:sz w:val="20"/>
                <w:szCs w:val="20"/>
              </w:rPr>
            </w:pPr>
            <w:r>
              <w:rPr>
                <w:rFonts w:cs="Calibri"/>
                <w:sz w:val="20"/>
                <w:szCs w:val="20"/>
              </w:rPr>
              <w:t>206</w:t>
            </w:r>
          </w:p>
        </w:tc>
        <w:tc>
          <w:tcPr>
            <w:tcW w:w="2260" w:type="dxa"/>
            <w:vAlign w:val="center"/>
          </w:tcPr>
          <w:p w14:paraId="06A57D3A" w14:textId="127D347F" w:rsidR="00D73CCA" w:rsidRPr="00F11AA5" w:rsidRDefault="00D73CCA" w:rsidP="008C01F0">
            <w:pPr>
              <w:jc w:val="center"/>
              <w:rPr>
                <w:rFonts w:cs="Calibri"/>
                <w:sz w:val="20"/>
                <w:szCs w:val="20"/>
              </w:rPr>
            </w:pPr>
            <w:r>
              <w:rPr>
                <w:rFonts w:cs="Calibri"/>
                <w:sz w:val="20"/>
                <w:szCs w:val="20"/>
              </w:rPr>
              <w:t>350</w:t>
            </w:r>
          </w:p>
        </w:tc>
        <w:tc>
          <w:tcPr>
            <w:tcW w:w="2260" w:type="dxa"/>
            <w:vAlign w:val="center"/>
          </w:tcPr>
          <w:p w14:paraId="15C1D903" w14:textId="341A80E6" w:rsidR="00D73CCA" w:rsidRPr="00F11AA5" w:rsidRDefault="00D73CCA" w:rsidP="008C01F0">
            <w:pPr>
              <w:jc w:val="center"/>
              <w:rPr>
                <w:rFonts w:cs="Calibri"/>
                <w:sz w:val="20"/>
                <w:szCs w:val="20"/>
              </w:rPr>
            </w:pPr>
            <w:r>
              <w:rPr>
                <w:rFonts w:cs="Calibri"/>
                <w:sz w:val="20"/>
                <w:szCs w:val="20"/>
              </w:rPr>
              <w:t>556</w:t>
            </w:r>
          </w:p>
        </w:tc>
      </w:tr>
    </w:tbl>
    <w:p w14:paraId="1E8B8E5C" w14:textId="77777777" w:rsidR="00304320" w:rsidRDefault="00304320" w:rsidP="00304320"/>
    <w:p w14:paraId="6AE12986" w14:textId="3BA3D858" w:rsidR="00304320" w:rsidRDefault="00304320" w:rsidP="00304320">
      <w:r w:rsidRPr="00634A64">
        <w:rPr>
          <w:rFonts w:cs="Calibri"/>
        </w:rPr>
        <w:lastRenderedPageBreak/>
        <w:t xml:space="preserve">Podotknúť treba, že v prípade najnepriaznivejšieho variantu ide o vysoko nepravdepodobný predpoklad, nakoľko vzhľadom na stále relatívne vysoké ceny pohonných hmôt a pomerne dobrú dostupnosť hromadnej dopravy budú zamestnanci prevádzky v prevažnej miere prioritne využívať prostriedky hromadnej autobusovej dopravy, prípadne železničnú dopravu. </w:t>
      </w:r>
      <w:r w:rsidRPr="00634A64">
        <w:t xml:space="preserve">S istotou možno konštatovať, že dopravné zaťaženie súvisiace s dochádzaním týchto pracovníkov do zamestnania bude signifikantne nižšie, nakoľko pracovníci budú využívať prostriedky verejnej hromadnej dopravy (úspora financií za pohonné hmoty a servis vozidiel) a taktiež je vo výrobných zariadeniach častým javom (obzvlášť so zmennou formou prevádzky), dochádzanie viacerých zamestnancov prostredníctvom jedného osobného automobilu po vzájomnej dohode (opätovne úspora financií za pohonné hmoty, ale aj za servis vozidiel). </w:t>
      </w:r>
    </w:p>
    <w:p w14:paraId="17AF85EE" w14:textId="77777777" w:rsidR="00D73CCA" w:rsidRDefault="00D73CCA" w:rsidP="00304320"/>
    <w:p w14:paraId="5B02EC2B" w14:textId="77777777" w:rsidR="00304320" w:rsidRPr="00F11AA5" w:rsidRDefault="00304320" w:rsidP="00304320">
      <w:pPr>
        <w:rPr>
          <w:i/>
          <w:iCs/>
          <w:u w:val="single"/>
        </w:rPr>
      </w:pPr>
      <w:r w:rsidRPr="00F11AA5">
        <w:rPr>
          <w:i/>
          <w:iCs/>
          <w:u w:val="single"/>
        </w:rPr>
        <w:t>Statická doprava</w:t>
      </w:r>
    </w:p>
    <w:p w14:paraId="1A2B1C71" w14:textId="0C70F73C" w:rsidR="00304320" w:rsidRPr="00F11AA5" w:rsidRDefault="00304320" w:rsidP="00304320">
      <w:r>
        <w:t xml:space="preserve">V dôsledku realizácie zmeny činnosti, opísanej v predkladanom Oznámení o zmene dôjde k výstavbe celkovo </w:t>
      </w:r>
      <w:r w:rsidR="00D73CCA">
        <w:rPr>
          <w:color w:val="000000" w:themeColor="text1"/>
        </w:rPr>
        <w:t>96</w:t>
      </w:r>
      <w:r w:rsidRPr="0069270C">
        <w:rPr>
          <w:color w:val="000000" w:themeColor="text1"/>
        </w:rPr>
        <w:t xml:space="preserve"> parkovacích miest a </w:t>
      </w:r>
      <w:r w:rsidR="00D73CCA">
        <w:rPr>
          <w:color w:val="000000" w:themeColor="text1"/>
        </w:rPr>
        <w:t>úprave</w:t>
      </w:r>
      <w:r w:rsidRPr="0069270C">
        <w:rPr>
          <w:color w:val="000000" w:themeColor="text1"/>
        </w:rPr>
        <w:t xml:space="preserve"> vnútro areálových komunikácií.  Parkovacie plochy budú odvodnené a cez </w:t>
      </w:r>
      <w:r w:rsidR="00D73CCA">
        <w:rPr>
          <w:color w:val="000000" w:themeColor="text1"/>
        </w:rPr>
        <w:t>ORL a</w:t>
      </w:r>
      <w:r w:rsidRPr="0069270C">
        <w:rPr>
          <w:color w:val="000000" w:themeColor="text1"/>
        </w:rPr>
        <w:t xml:space="preserve"> dažďová voda</w:t>
      </w:r>
      <w:r w:rsidR="00D73CCA">
        <w:rPr>
          <w:color w:val="000000" w:themeColor="text1"/>
        </w:rPr>
        <w:t xml:space="preserve"> bude</w:t>
      </w:r>
      <w:r w:rsidRPr="0069270C">
        <w:rPr>
          <w:color w:val="000000" w:themeColor="text1"/>
        </w:rPr>
        <w:t xml:space="preserve"> vypúšťaná </w:t>
      </w:r>
      <w:r w:rsidR="00D73CCA">
        <w:rPr>
          <w:color w:val="000000" w:themeColor="text1"/>
        </w:rPr>
        <w:t xml:space="preserve">do </w:t>
      </w:r>
      <w:proofErr w:type="spellStart"/>
      <w:r w:rsidR="00D73CCA">
        <w:rPr>
          <w:color w:val="000000" w:themeColor="text1"/>
        </w:rPr>
        <w:t>vsaku</w:t>
      </w:r>
      <w:proofErr w:type="spellEnd"/>
      <w:r w:rsidRPr="0069270C">
        <w:rPr>
          <w:color w:val="000000" w:themeColor="text1"/>
        </w:rPr>
        <w:t>.</w:t>
      </w:r>
    </w:p>
    <w:p w14:paraId="02EEE755" w14:textId="77777777" w:rsidR="00304320" w:rsidRPr="00634A64" w:rsidRDefault="00304320" w:rsidP="00304320">
      <w:r w:rsidRPr="00634A64">
        <w:t>Pre nákladnú dopravu bude vyhradený priestor vnútri areálu určený pre nakládku a</w:t>
      </w:r>
      <w:r>
        <w:t> </w:t>
      </w:r>
      <w:r w:rsidRPr="00634A64">
        <w:t>vykládku</w:t>
      </w:r>
      <w:r>
        <w:t xml:space="preserve"> výrobkov, materiálu a odpadov</w:t>
      </w:r>
      <w:r w:rsidRPr="00634A64">
        <w:t>.</w:t>
      </w:r>
      <w:r>
        <w:t xml:space="preserve"> </w:t>
      </w:r>
    </w:p>
    <w:p w14:paraId="0FC019A1" w14:textId="77777777" w:rsidR="00304320" w:rsidRPr="000C105F" w:rsidRDefault="00304320" w:rsidP="000B75BC">
      <w:pPr>
        <w:rPr>
          <w:b/>
        </w:rPr>
      </w:pPr>
    </w:p>
    <w:p w14:paraId="0E756068" w14:textId="77777777" w:rsidR="000C105F" w:rsidRPr="000C105F" w:rsidRDefault="000C105F" w:rsidP="000C105F">
      <w:pPr>
        <w:rPr>
          <w:b/>
        </w:rPr>
      </w:pPr>
      <w:bookmarkStart w:id="20" w:name="_Toc366083372"/>
      <w:r w:rsidRPr="000C105F">
        <w:rPr>
          <w:b/>
        </w:rPr>
        <w:t>Výrub drevín</w:t>
      </w:r>
      <w:bookmarkEnd w:id="20"/>
      <w:r w:rsidRPr="000C105F">
        <w:rPr>
          <w:b/>
        </w:rPr>
        <w:t xml:space="preserve"> </w:t>
      </w:r>
    </w:p>
    <w:p w14:paraId="6C2C2B58" w14:textId="77777777" w:rsidR="00304320" w:rsidRDefault="00304320" w:rsidP="00304320">
      <w:r w:rsidRPr="008F4659">
        <w:t xml:space="preserve">V záujmovom území sa nenachádza žiadna </w:t>
      </w:r>
      <w:proofErr w:type="spellStart"/>
      <w:r w:rsidRPr="008F4659">
        <w:t>vzrastlá</w:t>
      </w:r>
      <w:proofErr w:type="spellEnd"/>
      <w:r w:rsidRPr="008F4659">
        <w:t xml:space="preserve"> zeleň ktorá by musela biť zlikvidovaná a pre ktorú by bol potrebný súhlas na výrub. </w:t>
      </w:r>
    </w:p>
    <w:p w14:paraId="46BE52A5" w14:textId="074C672E" w:rsidR="000C105F" w:rsidRPr="000C105F" w:rsidRDefault="000C105F" w:rsidP="000B75BC">
      <w:pPr>
        <w:rPr>
          <w:b/>
        </w:rPr>
      </w:pPr>
    </w:p>
    <w:p w14:paraId="191F10FA" w14:textId="6E1ED9D9" w:rsidR="000C105F" w:rsidRDefault="000C105F" w:rsidP="000B75BC">
      <w:pPr>
        <w:rPr>
          <w:b/>
          <w:i/>
          <w:iCs/>
          <w:u w:val="single"/>
        </w:rPr>
      </w:pPr>
      <w:r w:rsidRPr="000C105F">
        <w:rPr>
          <w:b/>
          <w:i/>
          <w:iCs/>
          <w:u w:val="single"/>
        </w:rPr>
        <w:t>Údaje o</w:t>
      </w:r>
      <w:r w:rsidR="005F29A9">
        <w:rPr>
          <w:b/>
          <w:i/>
          <w:iCs/>
          <w:u w:val="single"/>
        </w:rPr>
        <w:t> </w:t>
      </w:r>
      <w:r w:rsidRPr="000C105F">
        <w:rPr>
          <w:b/>
          <w:i/>
          <w:iCs/>
          <w:u w:val="single"/>
        </w:rPr>
        <w:t>výstupoch</w:t>
      </w:r>
    </w:p>
    <w:p w14:paraId="2886B70D" w14:textId="77777777" w:rsidR="005F29A9" w:rsidRPr="000C105F" w:rsidRDefault="005F29A9" w:rsidP="000B75BC">
      <w:pPr>
        <w:rPr>
          <w:b/>
          <w:i/>
          <w:iCs/>
          <w:u w:val="single"/>
        </w:rPr>
      </w:pPr>
    </w:p>
    <w:p w14:paraId="15DCE805" w14:textId="5F2E4C22" w:rsidR="000C105F" w:rsidRDefault="000C105F" w:rsidP="000B75BC">
      <w:pPr>
        <w:rPr>
          <w:b/>
        </w:rPr>
      </w:pPr>
      <w:r w:rsidRPr="000C105F">
        <w:rPr>
          <w:b/>
        </w:rPr>
        <w:t>Emisie</w:t>
      </w:r>
    </w:p>
    <w:p w14:paraId="3B649828" w14:textId="77777777" w:rsidR="00304320" w:rsidRPr="00F11AA5" w:rsidRDefault="00304320" w:rsidP="00304320">
      <w:pPr>
        <w:rPr>
          <w:i/>
          <w:iCs/>
          <w:u w:val="single"/>
        </w:rPr>
      </w:pPr>
      <w:r w:rsidRPr="00F11AA5">
        <w:rPr>
          <w:i/>
          <w:iCs/>
          <w:u w:val="single"/>
        </w:rPr>
        <w:t>Emisie počas výstavby</w:t>
      </w:r>
    </w:p>
    <w:p w14:paraId="1D2E1D1C" w14:textId="77777777" w:rsidR="00304320" w:rsidRPr="00315DD0" w:rsidRDefault="00304320" w:rsidP="00304320">
      <w:r w:rsidRPr="00315DD0">
        <w:rPr>
          <w:i/>
        </w:rPr>
        <w:t>Bodové zdroje</w:t>
      </w:r>
      <w:r w:rsidRPr="00315DD0">
        <w:t xml:space="preserve"> znečistenia počas výstavby sa nepredpokladajú.</w:t>
      </w:r>
    </w:p>
    <w:p w14:paraId="0D1F8834" w14:textId="77777777" w:rsidR="00304320" w:rsidRPr="00315DD0" w:rsidRDefault="00304320" w:rsidP="00304320">
      <w:r w:rsidRPr="00315DD0">
        <w:rPr>
          <w:i/>
        </w:rPr>
        <w:t xml:space="preserve">Líniové zdroje </w:t>
      </w:r>
      <w:r w:rsidRPr="00315DD0">
        <w:t>znečistenia budú predstavované činnosťou stavebnej techniky a inštalácie technológie. Táto etapa bude trvať len obmedzený čas. Odhad emisií z líniových zdrojov v celej etape výstavby nie je možné spoľahlivo predikovať.</w:t>
      </w:r>
    </w:p>
    <w:p w14:paraId="0DB8DBE1" w14:textId="77777777" w:rsidR="00304320" w:rsidRPr="00315DD0" w:rsidRDefault="00304320" w:rsidP="00304320">
      <w:r w:rsidRPr="00315DD0">
        <w:rPr>
          <w:i/>
        </w:rPr>
        <w:t xml:space="preserve">Plošné zdroje </w:t>
      </w:r>
      <w:r w:rsidRPr="00315DD0">
        <w:t>– za dočasný plošný zdroj znečistenia je možné považovať vlastný priestor budúcej prevádzky, ktorý môže byť zdrojom sekundárnej prašnosti. Potrebné je však skonštatovať, že navrhovaná činnosť je lokalizovaná v dostatočnej odstupovej vzdialenosti od najbližšie trvale sídliaceho obyvateľstva.</w:t>
      </w:r>
    </w:p>
    <w:p w14:paraId="0E2BA4F9" w14:textId="0EE823A1" w:rsidR="00304320" w:rsidRPr="00F92C4D" w:rsidRDefault="00304320" w:rsidP="000B75BC">
      <w:r w:rsidRPr="00315DD0">
        <w:t>V etape výstavby dodávateľ stavby zaistí účinnú techniku na čistenie komunikácií a zaistí vykonávanie riadnej údržby a zjazdnosti ním využívaných prístupových ciest po celú dobu stavebných prác a inštalácie technologických komponentov zariadenia.</w:t>
      </w:r>
    </w:p>
    <w:p w14:paraId="7CFBD3BB" w14:textId="249CB945" w:rsidR="00BD2C44" w:rsidRDefault="00BD2C44" w:rsidP="000B75BC">
      <w:pPr>
        <w:rPr>
          <w:bCs/>
        </w:rPr>
      </w:pPr>
      <w:r>
        <w:rPr>
          <w:bCs/>
        </w:rPr>
        <w:t xml:space="preserve">Samotná technológia výroby nebude zdrojom znečisťovania ovzdušia. </w:t>
      </w:r>
      <w:r w:rsidRPr="00BD2C44">
        <w:rPr>
          <w:bCs/>
        </w:rPr>
        <w:t xml:space="preserve">Emisie počas prevádzky budú mať </w:t>
      </w:r>
      <w:r>
        <w:rPr>
          <w:bCs/>
        </w:rPr>
        <w:t xml:space="preserve">teda </w:t>
      </w:r>
      <w:r w:rsidRPr="00BD2C44">
        <w:rPr>
          <w:bCs/>
        </w:rPr>
        <w:t>charakter odpadových plynov z</w:t>
      </w:r>
      <w:r>
        <w:rPr>
          <w:bCs/>
        </w:rPr>
        <w:t> </w:t>
      </w:r>
      <w:r w:rsidRPr="00BD2C44">
        <w:rPr>
          <w:bCs/>
        </w:rPr>
        <w:t>vykurovania</w:t>
      </w:r>
      <w:r>
        <w:rPr>
          <w:bCs/>
        </w:rPr>
        <w:t xml:space="preserve"> pomocou zemného plynu. Vykurovanie bude v navrhovanom objekte riešené pomocou plynových žiaričov z ktorých bude mať každý samostatný výduch nad strechu objektu. Celkový počet a parametre týchto vyhrievacích prvkov v tomto štádiu ešte nie sú známe. TUV bude vyrábaná v existujúcom zariadení.</w:t>
      </w:r>
    </w:p>
    <w:p w14:paraId="30013A84" w14:textId="77777777" w:rsidR="00BD2C44" w:rsidRPr="000C105F" w:rsidRDefault="00BD2C44" w:rsidP="000B75BC">
      <w:pPr>
        <w:rPr>
          <w:b/>
        </w:rPr>
      </w:pPr>
    </w:p>
    <w:p w14:paraId="6A89AE5C" w14:textId="399F83E2" w:rsidR="000C105F" w:rsidRDefault="000C105F" w:rsidP="000B75BC">
      <w:pPr>
        <w:rPr>
          <w:b/>
        </w:rPr>
      </w:pPr>
      <w:r w:rsidRPr="000C105F">
        <w:rPr>
          <w:b/>
        </w:rPr>
        <w:t>Odpadové vody</w:t>
      </w:r>
    </w:p>
    <w:p w14:paraId="2884CE05" w14:textId="5ADD4665" w:rsidR="00304320" w:rsidRDefault="00304320" w:rsidP="00304320">
      <w:r w:rsidRPr="008F4659">
        <w:t>Počas prevádzky budú vz</w:t>
      </w:r>
      <w:r>
        <w:t xml:space="preserve">nikať splaškové a dažďové vody. </w:t>
      </w:r>
      <w:r w:rsidRPr="008F4659">
        <w:t>Realizáci</w:t>
      </w:r>
      <w:r>
        <w:t>ou zmeny</w:t>
      </w:r>
      <w:r w:rsidRPr="008F4659">
        <w:t xml:space="preserve"> posudzovanej činnosti </w:t>
      </w:r>
      <w:r>
        <w:t xml:space="preserve">dôjde k navýšeniu produkcie odpadových splaškových vôd o približne </w:t>
      </w:r>
      <w:r w:rsidR="00BD2C44">
        <w:t>4888</w:t>
      </w:r>
      <w:r>
        <w:t xml:space="preserve"> m</w:t>
      </w:r>
      <w:r w:rsidRPr="00CD181F">
        <w:rPr>
          <w:vertAlign w:val="superscript"/>
        </w:rPr>
        <w:t>3</w:t>
      </w:r>
      <w:r>
        <w:t xml:space="preserve"> </w:t>
      </w:r>
      <w:r>
        <w:lastRenderedPageBreak/>
        <w:t xml:space="preserve">ročne. Splaškové vody budú odvádzané </w:t>
      </w:r>
      <w:r w:rsidR="00BD2C44">
        <w:t xml:space="preserve">čiastočne </w:t>
      </w:r>
      <w:r>
        <w:t>existujúcou kanalizáciou</w:t>
      </w:r>
      <w:r w:rsidR="00BD2C44">
        <w:t>, čiastočne do projektovanej žumpy</w:t>
      </w:r>
      <w:r>
        <w:t xml:space="preserve">. Dažďové vody zo strechy objektu budú odvádzané do </w:t>
      </w:r>
      <w:proofErr w:type="spellStart"/>
      <w:r w:rsidR="00BD2C44">
        <w:t>vsaku</w:t>
      </w:r>
      <w:proofErr w:type="spellEnd"/>
      <w:r>
        <w:t xml:space="preserve">. </w:t>
      </w:r>
    </w:p>
    <w:p w14:paraId="09E05489" w14:textId="21AD07A2" w:rsidR="00304320" w:rsidRPr="00893A67" w:rsidRDefault="00304320" w:rsidP="00304320">
      <w:r w:rsidRPr="0069270C">
        <w:rPr>
          <w:color w:val="000000" w:themeColor="text1"/>
        </w:rPr>
        <w:t>Parkovacie plochy budú odvodnené a cez systém čistenia</w:t>
      </w:r>
      <w:r w:rsidR="00BD2C44">
        <w:rPr>
          <w:color w:val="000000" w:themeColor="text1"/>
        </w:rPr>
        <w:t xml:space="preserve"> –</w:t>
      </w:r>
      <w:r w:rsidRPr="0069270C">
        <w:rPr>
          <w:color w:val="000000" w:themeColor="text1"/>
        </w:rPr>
        <w:t xml:space="preserve"> </w:t>
      </w:r>
      <w:r w:rsidR="00BD2C44">
        <w:rPr>
          <w:color w:val="000000" w:themeColor="text1"/>
        </w:rPr>
        <w:t xml:space="preserve">ORL a následne </w:t>
      </w:r>
      <w:r w:rsidRPr="0069270C">
        <w:rPr>
          <w:color w:val="000000" w:themeColor="text1"/>
        </w:rPr>
        <w:t xml:space="preserve">bude dažďová voda vypúšťaná </w:t>
      </w:r>
      <w:r w:rsidR="00BD2C44">
        <w:rPr>
          <w:color w:val="000000" w:themeColor="text1"/>
        </w:rPr>
        <w:t xml:space="preserve">do </w:t>
      </w:r>
      <w:proofErr w:type="spellStart"/>
      <w:r w:rsidR="00BD2C44">
        <w:rPr>
          <w:color w:val="000000" w:themeColor="text1"/>
        </w:rPr>
        <w:t>vsaku</w:t>
      </w:r>
      <w:proofErr w:type="spellEnd"/>
      <w:r w:rsidRPr="0069270C">
        <w:rPr>
          <w:color w:val="000000" w:themeColor="text1"/>
        </w:rPr>
        <w:t>.</w:t>
      </w:r>
    </w:p>
    <w:p w14:paraId="7E17C084" w14:textId="0BDDF501" w:rsidR="00304320" w:rsidRDefault="00304320" w:rsidP="00304320">
      <w:r>
        <w:t xml:space="preserve">Technologická odpadová voda na prevádzke produkovaná </w:t>
      </w:r>
      <w:r w:rsidR="00BD2C44">
        <w:t>nie je.</w:t>
      </w:r>
    </w:p>
    <w:p w14:paraId="379349D9" w14:textId="77777777" w:rsidR="00304320" w:rsidRPr="000C105F" w:rsidRDefault="00304320" w:rsidP="000B75BC">
      <w:pPr>
        <w:rPr>
          <w:b/>
        </w:rPr>
      </w:pPr>
    </w:p>
    <w:p w14:paraId="36406C12" w14:textId="357C8730" w:rsidR="000C105F" w:rsidRDefault="000C105F" w:rsidP="000B75BC">
      <w:pPr>
        <w:rPr>
          <w:b/>
        </w:rPr>
      </w:pPr>
      <w:r w:rsidRPr="000C105F">
        <w:rPr>
          <w:b/>
        </w:rPr>
        <w:t>Odpady</w:t>
      </w:r>
    </w:p>
    <w:p w14:paraId="0E9B5FB3" w14:textId="03E99BAF" w:rsidR="00304320" w:rsidRDefault="00304320" w:rsidP="00304320">
      <w:r>
        <w:t>Realizáciou navrhovanej zmeny nedôjde k zmene v charaktere odpadov ktoré budú vznikať na pôvodnej prevádzke</w:t>
      </w:r>
      <w:r w:rsidR="00BD2C44">
        <w:t>, pretože inštalovaná technológia predstavuje len rozšírenie výroby o technologicky po</w:t>
      </w:r>
      <w:r w:rsidR="00E373DA">
        <w:t xml:space="preserve">dobné zariadenia ako sú používané v súčasnosti. </w:t>
      </w:r>
      <w:r w:rsidR="005F29A9">
        <w:t>Odpady budú predstavovať najmä obalové materiály vstupných produktov a odpady z údržby zariadení. Taktiež tu bude vznikať určité množstvo komunálneho odpadu.</w:t>
      </w:r>
    </w:p>
    <w:p w14:paraId="5284FA01" w14:textId="77777777" w:rsidR="00E02A01" w:rsidRDefault="00E02A01" w:rsidP="00304320"/>
    <w:p w14:paraId="62EDFDA4" w14:textId="3994EC65" w:rsidR="00304320" w:rsidRDefault="00304320" w:rsidP="00304320">
      <w:pPr>
        <w:pStyle w:val="Popis"/>
        <w:keepNext/>
      </w:pPr>
      <w:bookmarkStart w:id="21" w:name="_Toc30497439"/>
      <w:r>
        <w:t xml:space="preserve">Tab. </w:t>
      </w:r>
      <w:r>
        <w:fldChar w:fldCharType="begin"/>
      </w:r>
      <w:r>
        <w:instrText xml:space="preserve"> SEQ Tab. \* ARABIC </w:instrText>
      </w:r>
      <w:r>
        <w:fldChar w:fldCharType="separate"/>
      </w:r>
      <w:r w:rsidR="00467FCC">
        <w:rPr>
          <w:noProof/>
        </w:rPr>
        <w:t>12</w:t>
      </w:r>
      <w:r>
        <w:fldChar w:fldCharType="end"/>
      </w:r>
      <w:r>
        <w:t xml:space="preserve"> – Odpady ktoré budú vznikať pri prevádzke navrhovanej činnosti</w:t>
      </w:r>
      <w:bookmarkEnd w:id="21"/>
    </w:p>
    <w:tbl>
      <w:tblPr>
        <w:tblStyle w:val="Mriekatabuky"/>
        <w:tblW w:w="9640" w:type="dxa"/>
        <w:tblInd w:w="-289" w:type="dxa"/>
        <w:tblLook w:val="04A0" w:firstRow="1" w:lastRow="0" w:firstColumn="1" w:lastColumn="0" w:noHBand="0" w:noVBand="1"/>
      </w:tblPr>
      <w:tblGrid>
        <w:gridCol w:w="1520"/>
        <w:gridCol w:w="6419"/>
        <w:gridCol w:w="1701"/>
      </w:tblGrid>
      <w:tr w:rsidR="00304320" w14:paraId="287086F0" w14:textId="77777777" w:rsidTr="00E02A01">
        <w:trPr>
          <w:tblHeader/>
        </w:trPr>
        <w:tc>
          <w:tcPr>
            <w:tcW w:w="1520" w:type="dxa"/>
            <w:shd w:val="clear" w:color="auto" w:fill="808080" w:themeFill="background1" w:themeFillShade="80"/>
            <w:vAlign w:val="center"/>
          </w:tcPr>
          <w:p w14:paraId="5F28579D" w14:textId="77777777" w:rsidR="00304320" w:rsidRPr="001C5A49" w:rsidRDefault="00304320" w:rsidP="008C01F0">
            <w:pPr>
              <w:jc w:val="center"/>
              <w:rPr>
                <w:b/>
                <w:bCs/>
                <w:i/>
                <w:iCs/>
                <w:u w:val="single"/>
              </w:rPr>
            </w:pPr>
            <w:r w:rsidRPr="00202482">
              <w:rPr>
                <w:b/>
              </w:rPr>
              <w:br w:type="page"/>
              <w:t>Katalógové číslo odpadu</w:t>
            </w:r>
          </w:p>
        </w:tc>
        <w:tc>
          <w:tcPr>
            <w:tcW w:w="6419" w:type="dxa"/>
            <w:shd w:val="clear" w:color="auto" w:fill="808080" w:themeFill="background1" w:themeFillShade="80"/>
            <w:vAlign w:val="center"/>
          </w:tcPr>
          <w:p w14:paraId="29B6167A" w14:textId="77777777" w:rsidR="00304320" w:rsidRPr="001C5A49" w:rsidRDefault="00304320" w:rsidP="008C01F0">
            <w:pPr>
              <w:jc w:val="center"/>
              <w:rPr>
                <w:b/>
                <w:bCs/>
                <w:i/>
                <w:iCs/>
                <w:u w:val="single"/>
              </w:rPr>
            </w:pPr>
            <w:r w:rsidRPr="00202482">
              <w:rPr>
                <w:b/>
              </w:rPr>
              <w:t>Názov skupiny, podskupiny, druhu odpadu</w:t>
            </w:r>
          </w:p>
        </w:tc>
        <w:tc>
          <w:tcPr>
            <w:tcW w:w="1701" w:type="dxa"/>
            <w:shd w:val="clear" w:color="auto" w:fill="808080" w:themeFill="background1" w:themeFillShade="80"/>
            <w:vAlign w:val="center"/>
          </w:tcPr>
          <w:p w14:paraId="49890423" w14:textId="77777777" w:rsidR="00304320" w:rsidRPr="001C5A49" w:rsidRDefault="00304320" w:rsidP="008C01F0">
            <w:pPr>
              <w:jc w:val="center"/>
              <w:rPr>
                <w:b/>
                <w:bCs/>
                <w:i/>
                <w:iCs/>
                <w:u w:val="single"/>
              </w:rPr>
            </w:pPr>
            <w:r w:rsidRPr="00202482">
              <w:rPr>
                <w:b/>
              </w:rPr>
              <w:t>Kategória odpadu</w:t>
            </w:r>
          </w:p>
        </w:tc>
      </w:tr>
      <w:tr w:rsidR="00304320" w14:paraId="246AD7B3" w14:textId="77777777" w:rsidTr="008C01F0">
        <w:tc>
          <w:tcPr>
            <w:tcW w:w="1520" w:type="dxa"/>
          </w:tcPr>
          <w:p w14:paraId="7FF55EF4" w14:textId="77777777" w:rsidR="00304320" w:rsidRDefault="00304320" w:rsidP="008C01F0">
            <w:pPr>
              <w:spacing w:beforeAutospacing="0" w:afterAutospacing="0"/>
              <w:jc w:val="center"/>
            </w:pPr>
            <w:r>
              <w:t>15 02 03</w:t>
            </w:r>
          </w:p>
        </w:tc>
        <w:tc>
          <w:tcPr>
            <w:tcW w:w="6419" w:type="dxa"/>
          </w:tcPr>
          <w:p w14:paraId="0348B892" w14:textId="77777777" w:rsidR="00304320" w:rsidRDefault="00304320" w:rsidP="008C01F0">
            <w:pPr>
              <w:spacing w:beforeAutospacing="0" w:afterAutospacing="0"/>
              <w:jc w:val="center"/>
            </w:pPr>
            <w:proofErr w:type="spellStart"/>
            <w:r>
              <w:t>Absorbenty</w:t>
            </w:r>
            <w:proofErr w:type="spellEnd"/>
            <w:r>
              <w:t>, filtračné materiály, handry na čistenie iné ako uvedené v 15 02 02</w:t>
            </w:r>
          </w:p>
        </w:tc>
        <w:tc>
          <w:tcPr>
            <w:tcW w:w="1701" w:type="dxa"/>
            <w:vAlign w:val="center"/>
          </w:tcPr>
          <w:p w14:paraId="17DD6B52" w14:textId="77777777" w:rsidR="00304320" w:rsidRPr="00BA012C" w:rsidRDefault="00304320" w:rsidP="008C01F0">
            <w:pPr>
              <w:spacing w:beforeAutospacing="0" w:afterAutospacing="0"/>
              <w:jc w:val="center"/>
            </w:pPr>
            <w:r>
              <w:t>O</w:t>
            </w:r>
          </w:p>
        </w:tc>
      </w:tr>
      <w:tr w:rsidR="00304320" w14:paraId="44E25AF4" w14:textId="77777777" w:rsidTr="008C01F0">
        <w:tc>
          <w:tcPr>
            <w:tcW w:w="1520" w:type="dxa"/>
          </w:tcPr>
          <w:p w14:paraId="31E1AD45" w14:textId="77777777" w:rsidR="00304320" w:rsidRDefault="00304320" w:rsidP="008C01F0">
            <w:pPr>
              <w:spacing w:beforeAutospacing="0" w:afterAutospacing="0"/>
              <w:jc w:val="center"/>
            </w:pPr>
            <w:r>
              <w:t>17 02 03</w:t>
            </w:r>
          </w:p>
        </w:tc>
        <w:tc>
          <w:tcPr>
            <w:tcW w:w="6419" w:type="dxa"/>
          </w:tcPr>
          <w:p w14:paraId="39C0EF3B" w14:textId="77777777" w:rsidR="00304320" w:rsidRDefault="00304320" w:rsidP="008C01F0">
            <w:pPr>
              <w:spacing w:beforeAutospacing="0" w:afterAutospacing="0"/>
              <w:jc w:val="center"/>
            </w:pPr>
            <w:r>
              <w:t>Plasty</w:t>
            </w:r>
          </w:p>
        </w:tc>
        <w:tc>
          <w:tcPr>
            <w:tcW w:w="1701" w:type="dxa"/>
          </w:tcPr>
          <w:p w14:paraId="39A688FE" w14:textId="77777777" w:rsidR="00304320" w:rsidRPr="00BA012C" w:rsidRDefault="00304320" w:rsidP="008C01F0">
            <w:pPr>
              <w:spacing w:beforeAutospacing="0" w:afterAutospacing="0"/>
              <w:jc w:val="center"/>
            </w:pPr>
            <w:r>
              <w:t>O</w:t>
            </w:r>
          </w:p>
        </w:tc>
      </w:tr>
      <w:tr w:rsidR="00304320" w14:paraId="046648EB" w14:textId="77777777" w:rsidTr="008C01F0">
        <w:tc>
          <w:tcPr>
            <w:tcW w:w="1520" w:type="dxa"/>
          </w:tcPr>
          <w:p w14:paraId="3AC824F2" w14:textId="77777777" w:rsidR="00304320" w:rsidRDefault="00304320" w:rsidP="008C01F0">
            <w:pPr>
              <w:spacing w:beforeAutospacing="0" w:afterAutospacing="0"/>
              <w:jc w:val="center"/>
            </w:pPr>
            <w:r>
              <w:t>20 01 01</w:t>
            </w:r>
          </w:p>
        </w:tc>
        <w:tc>
          <w:tcPr>
            <w:tcW w:w="6419" w:type="dxa"/>
          </w:tcPr>
          <w:p w14:paraId="2B3E3DBE" w14:textId="77777777" w:rsidR="00304320" w:rsidRDefault="00304320" w:rsidP="008C01F0">
            <w:pPr>
              <w:spacing w:beforeAutospacing="0" w:afterAutospacing="0"/>
              <w:jc w:val="center"/>
            </w:pPr>
            <w:r>
              <w:t>Papier a lepenka</w:t>
            </w:r>
          </w:p>
        </w:tc>
        <w:tc>
          <w:tcPr>
            <w:tcW w:w="1701" w:type="dxa"/>
          </w:tcPr>
          <w:p w14:paraId="0DD37619" w14:textId="77777777" w:rsidR="00304320" w:rsidRDefault="00304320" w:rsidP="008C01F0">
            <w:pPr>
              <w:spacing w:beforeAutospacing="0" w:afterAutospacing="0"/>
              <w:jc w:val="center"/>
            </w:pPr>
            <w:r w:rsidRPr="00BA012C">
              <w:t>O</w:t>
            </w:r>
          </w:p>
        </w:tc>
      </w:tr>
    </w:tbl>
    <w:p w14:paraId="4AB0E4EF" w14:textId="77777777" w:rsidR="00304320" w:rsidRDefault="00304320" w:rsidP="00304320"/>
    <w:p w14:paraId="7F4B8674" w14:textId="37461470" w:rsidR="00304320" w:rsidRDefault="00304320" w:rsidP="00304320">
      <w:r>
        <w:t>V etape výstavby objektu vzniknú nasledujúce druhy odpadov:</w:t>
      </w:r>
    </w:p>
    <w:p w14:paraId="0F7203FC" w14:textId="77777777" w:rsidR="00304320" w:rsidRDefault="00304320" w:rsidP="00304320"/>
    <w:p w14:paraId="240F8722" w14:textId="099D13D8" w:rsidR="00304320" w:rsidRDefault="00304320" w:rsidP="00304320">
      <w:pPr>
        <w:pStyle w:val="Popis"/>
        <w:jc w:val="left"/>
      </w:pPr>
      <w:bookmarkStart w:id="22" w:name="_Toc30497440"/>
      <w:r>
        <w:t xml:space="preserve">Tab. </w:t>
      </w:r>
      <w:r>
        <w:fldChar w:fldCharType="begin"/>
      </w:r>
      <w:r>
        <w:instrText xml:space="preserve"> SEQ Tab. \* ARABIC </w:instrText>
      </w:r>
      <w:r>
        <w:fldChar w:fldCharType="separate"/>
      </w:r>
      <w:r w:rsidR="00467FCC">
        <w:rPr>
          <w:noProof/>
        </w:rPr>
        <w:t>13</w:t>
      </w:r>
      <w:r>
        <w:fldChar w:fldCharType="end"/>
      </w:r>
      <w:r>
        <w:t xml:space="preserve"> – Odpady ktoré vzniknú pri výstavbe navrhovaných objektov</w:t>
      </w:r>
      <w:bookmarkEnd w:id="22"/>
      <w:r w:rsidRPr="001F68A9">
        <w:t xml:space="preserve">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77"/>
        <w:gridCol w:w="6401"/>
        <w:gridCol w:w="1781"/>
      </w:tblGrid>
      <w:tr w:rsidR="00304320" w:rsidRPr="00202482" w14:paraId="451E5CA7" w14:textId="77777777" w:rsidTr="008C01F0">
        <w:trPr>
          <w:trHeight w:val="528"/>
          <w:tblHeader/>
          <w:jc w:val="center"/>
        </w:trPr>
        <w:tc>
          <w:tcPr>
            <w:tcW w:w="1477" w:type="dxa"/>
            <w:shd w:val="clear" w:color="auto" w:fill="808080" w:themeFill="background1" w:themeFillShade="80"/>
            <w:vAlign w:val="center"/>
          </w:tcPr>
          <w:p w14:paraId="02BFD9C1" w14:textId="77777777" w:rsidR="00304320" w:rsidRPr="00202482" w:rsidRDefault="00304320" w:rsidP="008C01F0">
            <w:pPr>
              <w:jc w:val="center"/>
              <w:rPr>
                <w:b/>
              </w:rPr>
            </w:pPr>
            <w:r w:rsidRPr="00202482">
              <w:rPr>
                <w:b/>
              </w:rPr>
              <w:br w:type="page"/>
              <w:t>Katalógové číslo odpadu</w:t>
            </w:r>
          </w:p>
        </w:tc>
        <w:tc>
          <w:tcPr>
            <w:tcW w:w="6401" w:type="dxa"/>
            <w:shd w:val="clear" w:color="auto" w:fill="808080" w:themeFill="background1" w:themeFillShade="80"/>
            <w:vAlign w:val="center"/>
          </w:tcPr>
          <w:p w14:paraId="15116FA6" w14:textId="77777777" w:rsidR="00304320" w:rsidRPr="00202482" w:rsidRDefault="00304320" w:rsidP="008C01F0">
            <w:pPr>
              <w:jc w:val="center"/>
              <w:rPr>
                <w:b/>
              </w:rPr>
            </w:pPr>
            <w:r w:rsidRPr="00202482">
              <w:rPr>
                <w:b/>
              </w:rPr>
              <w:t>Názov skupiny, podskupiny, druhu odpadu</w:t>
            </w:r>
          </w:p>
        </w:tc>
        <w:tc>
          <w:tcPr>
            <w:tcW w:w="1781" w:type="dxa"/>
            <w:shd w:val="clear" w:color="auto" w:fill="808080" w:themeFill="background1" w:themeFillShade="80"/>
            <w:vAlign w:val="center"/>
          </w:tcPr>
          <w:p w14:paraId="58F4DF10" w14:textId="77777777" w:rsidR="00304320" w:rsidRPr="00202482" w:rsidRDefault="00304320" w:rsidP="008C01F0">
            <w:pPr>
              <w:jc w:val="center"/>
              <w:rPr>
                <w:b/>
              </w:rPr>
            </w:pPr>
            <w:r w:rsidRPr="00202482">
              <w:rPr>
                <w:b/>
              </w:rPr>
              <w:t>Kategória odpadu</w:t>
            </w:r>
          </w:p>
        </w:tc>
      </w:tr>
      <w:tr w:rsidR="00304320" w:rsidRPr="00202482" w14:paraId="073DD715" w14:textId="77777777" w:rsidTr="008C01F0">
        <w:trPr>
          <w:trHeight w:val="250"/>
          <w:jc w:val="center"/>
        </w:trPr>
        <w:tc>
          <w:tcPr>
            <w:tcW w:w="1477" w:type="dxa"/>
            <w:vAlign w:val="center"/>
          </w:tcPr>
          <w:p w14:paraId="38D54577" w14:textId="77777777" w:rsidR="00304320" w:rsidRPr="00202482" w:rsidRDefault="00304320" w:rsidP="008C01F0">
            <w:pPr>
              <w:jc w:val="center"/>
            </w:pPr>
            <w:r w:rsidRPr="00202482">
              <w:t>15 01 01</w:t>
            </w:r>
          </w:p>
        </w:tc>
        <w:tc>
          <w:tcPr>
            <w:tcW w:w="6401" w:type="dxa"/>
            <w:vAlign w:val="center"/>
          </w:tcPr>
          <w:p w14:paraId="68D6B50E" w14:textId="77777777" w:rsidR="00304320" w:rsidRPr="00202482" w:rsidRDefault="00304320" w:rsidP="008C01F0">
            <w:pPr>
              <w:jc w:val="center"/>
            </w:pPr>
            <w:r w:rsidRPr="00202482">
              <w:t>Obaly z papiera a lepenky</w:t>
            </w:r>
          </w:p>
        </w:tc>
        <w:tc>
          <w:tcPr>
            <w:tcW w:w="1781" w:type="dxa"/>
            <w:vAlign w:val="center"/>
          </w:tcPr>
          <w:p w14:paraId="0FECB73A" w14:textId="77777777" w:rsidR="00304320" w:rsidRPr="00202482" w:rsidRDefault="00304320" w:rsidP="008C01F0">
            <w:pPr>
              <w:jc w:val="center"/>
            </w:pPr>
            <w:r w:rsidRPr="00202482">
              <w:t>O</w:t>
            </w:r>
          </w:p>
        </w:tc>
      </w:tr>
      <w:tr w:rsidR="00304320" w:rsidRPr="00202482" w14:paraId="594A134C" w14:textId="77777777" w:rsidTr="008C01F0">
        <w:trPr>
          <w:trHeight w:val="250"/>
          <w:jc w:val="center"/>
        </w:trPr>
        <w:tc>
          <w:tcPr>
            <w:tcW w:w="1477" w:type="dxa"/>
            <w:vAlign w:val="center"/>
          </w:tcPr>
          <w:p w14:paraId="6A70FE25" w14:textId="77777777" w:rsidR="00304320" w:rsidRPr="00202482" w:rsidRDefault="00304320" w:rsidP="008C01F0">
            <w:pPr>
              <w:jc w:val="center"/>
            </w:pPr>
            <w:r w:rsidRPr="00202482">
              <w:t>15 01 02</w:t>
            </w:r>
          </w:p>
        </w:tc>
        <w:tc>
          <w:tcPr>
            <w:tcW w:w="6401" w:type="dxa"/>
            <w:vAlign w:val="center"/>
          </w:tcPr>
          <w:p w14:paraId="0BD2B027" w14:textId="77777777" w:rsidR="00304320" w:rsidRPr="00202482" w:rsidRDefault="00304320" w:rsidP="008C01F0">
            <w:pPr>
              <w:jc w:val="center"/>
            </w:pPr>
            <w:r w:rsidRPr="00202482">
              <w:t>Obaly z plastov</w:t>
            </w:r>
          </w:p>
        </w:tc>
        <w:tc>
          <w:tcPr>
            <w:tcW w:w="1781" w:type="dxa"/>
            <w:vAlign w:val="center"/>
          </w:tcPr>
          <w:p w14:paraId="2CBC926C" w14:textId="77777777" w:rsidR="00304320" w:rsidRPr="00202482" w:rsidRDefault="00304320" w:rsidP="008C01F0">
            <w:pPr>
              <w:jc w:val="center"/>
            </w:pPr>
            <w:r w:rsidRPr="00202482">
              <w:t>O</w:t>
            </w:r>
          </w:p>
        </w:tc>
      </w:tr>
      <w:tr w:rsidR="00304320" w:rsidRPr="00202482" w14:paraId="1B3D0C52" w14:textId="77777777" w:rsidTr="008C01F0">
        <w:trPr>
          <w:trHeight w:val="250"/>
          <w:jc w:val="center"/>
        </w:trPr>
        <w:tc>
          <w:tcPr>
            <w:tcW w:w="1477" w:type="dxa"/>
            <w:vAlign w:val="center"/>
          </w:tcPr>
          <w:p w14:paraId="09D33131" w14:textId="77777777" w:rsidR="00304320" w:rsidRPr="00202482" w:rsidRDefault="00304320" w:rsidP="008C01F0">
            <w:pPr>
              <w:jc w:val="center"/>
            </w:pPr>
            <w:r w:rsidRPr="00202482">
              <w:t>15 01 03</w:t>
            </w:r>
          </w:p>
        </w:tc>
        <w:tc>
          <w:tcPr>
            <w:tcW w:w="6401" w:type="dxa"/>
            <w:vAlign w:val="center"/>
          </w:tcPr>
          <w:p w14:paraId="0612CB78" w14:textId="77777777" w:rsidR="00304320" w:rsidRPr="00202482" w:rsidRDefault="00304320" w:rsidP="008C01F0">
            <w:pPr>
              <w:jc w:val="center"/>
            </w:pPr>
            <w:r w:rsidRPr="00202482">
              <w:t>Obaly z dreva</w:t>
            </w:r>
          </w:p>
        </w:tc>
        <w:tc>
          <w:tcPr>
            <w:tcW w:w="1781" w:type="dxa"/>
            <w:vAlign w:val="center"/>
          </w:tcPr>
          <w:p w14:paraId="1A146395" w14:textId="77777777" w:rsidR="00304320" w:rsidRPr="00202482" w:rsidRDefault="00304320" w:rsidP="008C01F0">
            <w:pPr>
              <w:jc w:val="center"/>
            </w:pPr>
            <w:r w:rsidRPr="00202482">
              <w:t>O</w:t>
            </w:r>
          </w:p>
        </w:tc>
      </w:tr>
      <w:tr w:rsidR="00304320" w:rsidRPr="00202482" w14:paraId="4D6A7CC4" w14:textId="77777777" w:rsidTr="008C01F0">
        <w:trPr>
          <w:trHeight w:val="250"/>
          <w:jc w:val="center"/>
        </w:trPr>
        <w:tc>
          <w:tcPr>
            <w:tcW w:w="1477" w:type="dxa"/>
            <w:vAlign w:val="center"/>
          </w:tcPr>
          <w:p w14:paraId="100E5A51" w14:textId="77777777" w:rsidR="00304320" w:rsidRPr="00202482" w:rsidRDefault="00304320" w:rsidP="008C01F0">
            <w:pPr>
              <w:jc w:val="center"/>
            </w:pPr>
            <w:r w:rsidRPr="00202482">
              <w:t>15 01 04</w:t>
            </w:r>
          </w:p>
        </w:tc>
        <w:tc>
          <w:tcPr>
            <w:tcW w:w="6401" w:type="dxa"/>
            <w:vAlign w:val="center"/>
          </w:tcPr>
          <w:p w14:paraId="11AB9591" w14:textId="77777777" w:rsidR="00304320" w:rsidRPr="00202482" w:rsidRDefault="00304320" w:rsidP="008C01F0">
            <w:pPr>
              <w:jc w:val="center"/>
            </w:pPr>
            <w:r w:rsidRPr="00202482">
              <w:t>Obaly z kovu</w:t>
            </w:r>
          </w:p>
        </w:tc>
        <w:tc>
          <w:tcPr>
            <w:tcW w:w="1781" w:type="dxa"/>
            <w:vAlign w:val="center"/>
          </w:tcPr>
          <w:p w14:paraId="7E95A1BB" w14:textId="77777777" w:rsidR="00304320" w:rsidRPr="00202482" w:rsidRDefault="00304320" w:rsidP="008C01F0">
            <w:pPr>
              <w:jc w:val="center"/>
            </w:pPr>
            <w:r w:rsidRPr="00202482">
              <w:t>O</w:t>
            </w:r>
          </w:p>
        </w:tc>
      </w:tr>
      <w:tr w:rsidR="00304320" w:rsidRPr="00202482" w14:paraId="401D9150" w14:textId="77777777" w:rsidTr="008C01F0">
        <w:trPr>
          <w:trHeight w:val="276"/>
          <w:jc w:val="center"/>
        </w:trPr>
        <w:tc>
          <w:tcPr>
            <w:tcW w:w="1477" w:type="dxa"/>
            <w:vAlign w:val="center"/>
          </w:tcPr>
          <w:p w14:paraId="09415288" w14:textId="77777777" w:rsidR="00304320" w:rsidRPr="00202482" w:rsidRDefault="00304320" w:rsidP="008C01F0">
            <w:pPr>
              <w:jc w:val="center"/>
            </w:pPr>
            <w:r w:rsidRPr="00202482">
              <w:t>15 01 06</w:t>
            </w:r>
          </w:p>
        </w:tc>
        <w:tc>
          <w:tcPr>
            <w:tcW w:w="6401" w:type="dxa"/>
            <w:vAlign w:val="center"/>
          </w:tcPr>
          <w:p w14:paraId="2A07F164" w14:textId="77777777" w:rsidR="00304320" w:rsidRPr="00202482" w:rsidRDefault="00304320" w:rsidP="008C01F0">
            <w:pPr>
              <w:jc w:val="center"/>
            </w:pPr>
            <w:r w:rsidRPr="00202482">
              <w:t>Zmiešané obaly</w:t>
            </w:r>
          </w:p>
        </w:tc>
        <w:tc>
          <w:tcPr>
            <w:tcW w:w="1781" w:type="dxa"/>
            <w:vAlign w:val="center"/>
          </w:tcPr>
          <w:p w14:paraId="0DC455D5" w14:textId="77777777" w:rsidR="00304320" w:rsidRPr="00202482" w:rsidRDefault="00304320" w:rsidP="008C01F0">
            <w:pPr>
              <w:jc w:val="center"/>
            </w:pPr>
            <w:r w:rsidRPr="00202482">
              <w:t>O</w:t>
            </w:r>
          </w:p>
        </w:tc>
      </w:tr>
      <w:tr w:rsidR="00304320" w:rsidRPr="00202482" w14:paraId="501ED28B" w14:textId="77777777" w:rsidTr="008C01F0">
        <w:trPr>
          <w:trHeight w:val="416"/>
          <w:jc w:val="center"/>
        </w:trPr>
        <w:tc>
          <w:tcPr>
            <w:tcW w:w="1477" w:type="dxa"/>
            <w:vAlign w:val="center"/>
          </w:tcPr>
          <w:p w14:paraId="495C8819" w14:textId="77777777" w:rsidR="00304320" w:rsidRPr="00202482" w:rsidRDefault="00304320" w:rsidP="008C01F0">
            <w:pPr>
              <w:jc w:val="center"/>
            </w:pPr>
            <w:r w:rsidRPr="00202482">
              <w:t>15 01 10</w:t>
            </w:r>
          </w:p>
        </w:tc>
        <w:tc>
          <w:tcPr>
            <w:tcW w:w="6401" w:type="dxa"/>
            <w:vAlign w:val="center"/>
          </w:tcPr>
          <w:p w14:paraId="7DDDFF58" w14:textId="77777777" w:rsidR="00304320" w:rsidRPr="00202482" w:rsidRDefault="00304320" w:rsidP="008C01F0">
            <w:pPr>
              <w:jc w:val="center"/>
            </w:pPr>
            <w:r w:rsidRPr="00202482">
              <w:t>Obaly obsahujúce zvyšky nebezpečných látok alebo kontaminované nebezpečnými látkami</w:t>
            </w:r>
          </w:p>
        </w:tc>
        <w:tc>
          <w:tcPr>
            <w:tcW w:w="1781" w:type="dxa"/>
            <w:vAlign w:val="center"/>
          </w:tcPr>
          <w:p w14:paraId="4899D21F" w14:textId="77777777" w:rsidR="00304320" w:rsidRPr="00202482" w:rsidRDefault="00304320" w:rsidP="008C01F0">
            <w:pPr>
              <w:jc w:val="center"/>
            </w:pPr>
            <w:r w:rsidRPr="00202482">
              <w:t>N</w:t>
            </w:r>
          </w:p>
        </w:tc>
      </w:tr>
      <w:tr w:rsidR="00304320" w:rsidRPr="00202482" w14:paraId="4FC9F36B" w14:textId="77777777" w:rsidTr="008C01F0">
        <w:trPr>
          <w:trHeight w:val="250"/>
          <w:jc w:val="center"/>
        </w:trPr>
        <w:tc>
          <w:tcPr>
            <w:tcW w:w="1477" w:type="dxa"/>
            <w:vAlign w:val="center"/>
          </w:tcPr>
          <w:p w14:paraId="497FEBD2" w14:textId="77777777" w:rsidR="00304320" w:rsidRPr="00202482" w:rsidRDefault="00304320" w:rsidP="008C01F0">
            <w:pPr>
              <w:jc w:val="center"/>
            </w:pPr>
            <w:r w:rsidRPr="00202482">
              <w:t>15 02 02</w:t>
            </w:r>
          </w:p>
        </w:tc>
        <w:tc>
          <w:tcPr>
            <w:tcW w:w="6401" w:type="dxa"/>
            <w:vAlign w:val="center"/>
          </w:tcPr>
          <w:p w14:paraId="4B86C283" w14:textId="77777777" w:rsidR="00304320" w:rsidRPr="00202482" w:rsidRDefault="00304320" w:rsidP="008C01F0">
            <w:pPr>
              <w:jc w:val="center"/>
            </w:pPr>
            <w:proofErr w:type="spellStart"/>
            <w:r w:rsidRPr="00202482">
              <w:t>Absorbenty</w:t>
            </w:r>
            <w:proofErr w:type="spellEnd"/>
            <w:r w:rsidRPr="00202482">
              <w:t>, filtračné materiály vrátane olejových filtrov inak nešpecifikovaných, handry na čistenie, ochranné odevy kontaminované nebezpečnými látkami</w:t>
            </w:r>
          </w:p>
        </w:tc>
        <w:tc>
          <w:tcPr>
            <w:tcW w:w="1781" w:type="dxa"/>
            <w:vAlign w:val="center"/>
          </w:tcPr>
          <w:p w14:paraId="0BE0F2A9" w14:textId="77777777" w:rsidR="00304320" w:rsidRPr="00202482" w:rsidRDefault="00304320" w:rsidP="008C01F0">
            <w:pPr>
              <w:jc w:val="center"/>
            </w:pPr>
            <w:r w:rsidRPr="00202482">
              <w:t>N</w:t>
            </w:r>
          </w:p>
        </w:tc>
      </w:tr>
      <w:tr w:rsidR="00304320" w:rsidRPr="00202482" w14:paraId="58D8484D" w14:textId="77777777" w:rsidTr="008C01F0">
        <w:trPr>
          <w:trHeight w:val="250"/>
          <w:jc w:val="center"/>
        </w:trPr>
        <w:tc>
          <w:tcPr>
            <w:tcW w:w="1477" w:type="dxa"/>
            <w:vAlign w:val="center"/>
          </w:tcPr>
          <w:p w14:paraId="118C284A" w14:textId="77777777" w:rsidR="00304320" w:rsidRPr="00202482" w:rsidRDefault="00304320" w:rsidP="008C01F0">
            <w:pPr>
              <w:jc w:val="center"/>
            </w:pPr>
            <w:r w:rsidRPr="00202482">
              <w:t>15 02 03</w:t>
            </w:r>
          </w:p>
        </w:tc>
        <w:tc>
          <w:tcPr>
            <w:tcW w:w="6401" w:type="dxa"/>
            <w:vAlign w:val="center"/>
          </w:tcPr>
          <w:p w14:paraId="48F25F3F" w14:textId="77777777" w:rsidR="00304320" w:rsidRPr="00202482" w:rsidRDefault="00304320" w:rsidP="008C01F0">
            <w:pPr>
              <w:jc w:val="center"/>
            </w:pPr>
            <w:proofErr w:type="spellStart"/>
            <w:r w:rsidRPr="00202482">
              <w:t>Absorbenty</w:t>
            </w:r>
            <w:proofErr w:type="spellEnd"/>
            <w:r w:rsidRPr="00202482">
              <w:t>, filtračné materiály, handry na čistenie a ochranné odevy iné ako uvedené v 15 02 02</w:t>
            </w:r>
          </w:p>
        </w:tc>
        <w:tc>
          <w:tcPr>
            <w:tcW w:w="1781" w:type="dxa"/>
            <w:vAlign w:val="center"/>
          </w:tcPr>
          <w:p w14:paraId="153CCEDA" w14:textId="77777777" w:rsidR="00304320" w:rsidRPr="00202482" w:rsidRDefault="00304320" w:rsidP="008C01F0">
            <w:pPr>
              <w:jc w:val="center"/>
            </w:pPr>
            <w:r w:rsidRPr="00202482">
              <w:t>O</w:t>
            </w:r>
          </w:p>
        </w:tc>
      </w:tr>
      <w:tr w:rsidR="00304320" w:rsidRPr="00202482" w14:paraId="7A27CDAA" w14:textId="77777777" w:rsidTr="008C01F0">
        <w:trPr>
          <w:trHeight w:val="250"/>
          <w:jc w:val="center"/>
        </w:trPr>
        <w:tc>
          <w:tcPr>
            <w:tcW w:w="1477" w:type="dxa"/>
            <w:vAlign w:val="center"/>
          </w:tcPr>
          <w:p w14:paraId="7C5A9A45" w14:textId="77777777" w:rsidR="00304320" w:rsidRPr="00202482" w:rsidRDefault="00304320" w:rsidP="008C01F0">
            <w:pPr>
              <w:jc w:val="center"/>
            </w:pPr>
            <w:r w:rsidRPr="00202482">
              <w:t>17 01 01</w:t>
            </w:r>
          </w:p>
        </w:tc>
        <w:tc>
          <w:tcPr>
            <w:tcW w:w="6401" w:type="dxa"/>
            <w:vAlign w:val="center"/>
          </w:tcPr>
          <w:p w14:paraId="3ADD4346" w14:textId="77777777" w:rsidR="00304320" w:rsidRPr="00202482" w:rsidRDefault="00304320" w:rsidP="008C01F0">
            <w:pPr>
              <w:jc w:val="center"/>
            </w:pPr>
            <w:r w:rsidRPr="00202482">
              <w:t>Betón</w:t>
            </w:r>
          </w:p>
        </w:tc>
        <w:tc>
          <w:tcPr>
            <w:tcW w:w="1781" w:type="dxa"/>
            <w:vAlign w:val="center"/>
          </w:tcPr>
          <w:p w14:paraId="556AB829" w14:textId="77777777" w:rsidR="00304320" w:rsidRPr="00202482" w:rsidRDefault="00304320" w:rsidP="008C01F0">
            <w:pPr>
              <w:jc w:val="center"/>
            </w:pPr>
            <w:r w:rsidRPr="00202482">
              <w:t>O</w:t>
            </w:r>
          </w:p>
        </w:tc>
      </w:tr>
      <w:tr w:rsidR="00304320" w:rsidRPr="00202482" w14:paraId="0400E06E" w14:textId="77777777" w:rsidTr="008C01F0">
        <w:trPr>
          <w:trHeight w:val="370"/>
          <w:jc w:val="center"/>
        </w:trPr>
        <w:tc>
          <w:tcPr>
            <w:tcW w:w="1477" w:type="dxa"/>
            <w:vAlign w:val="center"/>
          </w:tcPr>
          <w:p w14:paraId="6409EB9E" w14:textId="77777777" w:rsidR="00304320" w:rsidRPr="00202482" w:rsidRDefault="00304320" w:rsidP="008C01F0">
            <w:pPr>
              <w:jc w:val="center"/>
            </w:pPr>
            <w:r w:rsidRPr="00202482">
              <w:t>17 01 07</w:t>
            </w:r>
          </w:p>
        </w:tc>
        <w:tc>
          <w:tcPr>
            <w:tcW w:w="6401" w:type="dxa"/>
            <w:vAlign w:val="center"/>
          </w:tcPr>
          <w:p w14:paraId="6BA0E5C9" w14:textId="77777777" w:rsidR="00304320" w:rsidRPr="00202482" w:rsidRDefault="00304320" w:rsidP="008C01F0">
            <w:pPr>
              <w:jc w:val="center"/>
            </w:pPr>
            <w:r w:rsidRPr="00202482">
              <w:t>Zmesi betónu, tehál, obkladačiek, dlaždíc a keramiky iné ako uvedené v 17 01 06</w:t>
            </w:r>
          </w:p>
        </w:tc>
        <w:tc>
          <w:tcPr>
            <w:tcW w:w="1781" w:type="dxa"/>
            <w:vAlign w:val="center"/>
          </w:tcPr>
          <w:p w14:paraId="169C449C" w14:textId="77777777" w:rsidR="00304320" w:rsidRPr="00202482" w:rsidRDefault="00304320" w:rsidP="008C01F0">
            <w:pPr>
              <w:jc w:val="center"/>
            </w:pPr>
            <w:r w:rsidRPr="00202482">
              <w:t>O</w:t>
            </w:r>
          </w:p>
        </w:tc>
      </w:tr>
      <w:tr w:rsidR="00304320" w:rsidRPr="00202482" w14:paraId="40CF9347" w14:textId="77777777" w:rsidTr="008C01F0">
        <w:trPr>
          <w:trHeight w:val="250"/>
          <w:jc w:val="center"/>
        </w:trPr>
        <w:tc>
          <w:tcPr>
            <w:tcW w:w="1477" w:type="dxa"/>
            <w:vAlign w:val="center"/>
          </w:tcPr>
          <w:p w14:paraId="30AE8194" w14:textId="77777777" w:rsidR="00304320" w:rsidRPr="00202482" w:rsidRDefault="00304320" w:rsidP="008C01F0">
            <w:pPr>
              <w:jc w:val="center"/>
            </w:pPr>
            <w:r w:rsidRPr="00202482">
              <w:t>17 02 01</w:t>
            </w:r>
          </w:p>
        </w:tc>
        <w:tc>
          <w:tcPr>
            <w:tcW w:w="6401" w:type="dxa"/>
            <w:vAlign w:val="center"/>
          </w:tcPr>
          <w:p w14:paraId="31ADC549" w14:textId="77777777" w:rsidR="00304320" w:rsidRPr="00202482" w:rsidRDefault="00304320" w:rsidP="008C01F0">
            <w:pPr>
              <w:jc w:val="center"/>
            </w:pPr>
            <w:r w:rsidRPr="00202482">
              <w:t>Drevo</w:t>
            </w:r>
          </w:p>
        </w:tc>
        <w:tc>
          <w:tcPr>
            <w:tcW w:w="1781" w:type="dxa"/>
            <w:vAlign w:val="center"/>
          </w:tcPr>
          <w:p w14:paraId="72765609" w14:textId="77777777" w:rsidR="00304320" w:rsidRPr="00202482" w:rsidRDefault="00304320" w:rsidP="008C01F0">
            <w:pPr>
              <w:jc w:val="center"/>
            </w:pPr>
            <w:r w:rsidRPr="00202482">
              <w:t>O</w:t>
            </w:r>
          </w:p>
        </w:tc>
      </w:tr>
      <w:tr w:rsidR="00304320" w:rsidRPr="00202482" w14:paraId="23839AC4" w14:textId="77777777" w:rsidTr="008C01F0">
        <w:trPr>
          <w:trHeight w:val="250"/>
          <w:jc w:val="center"/>
        </w:trPr>
        <w:tc>
          <w:tcPr>
            <w:tcW w:w="1477" w:type="dxa"/>
            <w:vAlign w:val="center"/>
          </w:tcPr>
          <w:p w14:paraId="7651D5F1" w14:textId="77777777" w:rsidR="00304320" w:rsidRPr="00202482" w:rsidRDefault="00304320" w:rsidP="008C01F0">
            <w:pPr>
              <w:jc w:val="center"/>
            </w:pPr>
            <w:r w:rsidRPr="00202482">
              <w:t>17 02 02</w:t>
            </w:r>
          </w:p>
        </w:tc>
        <w:tc>
          <w:tcPr>
            <w:tcW w:w="6401" w:type="dxa"/>
            <w:vAlign w:val="center"/>
          </w:tcPr>
          <w:p w14:paraId="3C8985DF" w14:textId="77777777" w:rsidR="00304320" w:rsidRPr="00202482" w:rsidRDefault="00304320" w:rsidP="008C01F0">
            <w:pPr>
              <w:jc w:val="center"/>
            </w:pPr>
            <w:r w:rsidRPr="00202482">
              <w:t>Sklo</w:t>
            </w:r>
          </w:p>
        </w:tc>
        <w:tc>
          <w:tcPr>
            <w:tcW w:w="1781" w:type="dxa"/>
            <w:vAlign w:val="center"/>
          </w:tcPr>
          <w:p w14:paraId="02E197A7" w14:textId="77777777" w:rsidR="00304320" w:rsidRPr="00202482" w:rsidRDefault="00304320" w:rsidP="008C01F0">
            <w:pPr>
              <w:jc w:val="center"/>
            </w:pPr>
            <w:r w:rsidRPr="00202482">
              <w:t>O</w:t>
            </w:r>
          </w:p>
        </w:tc>
      </w:tr>
      <w:tr w:rsidR="00304320" w:rsidRPr="00202482" w14:paraId="6E730A03" w14:textId="77777777" w:rsidTr="008C01F0">
        <w:trPr>
          <w:trHeight w:val="250"/>
          <w:jc w:val="center"/>
        </w:trPr>
        <w:tc>
          <w:tcPr>
            <w:tcW w:w="1477" w:type="dxa"/>
            <w:vAlign w:val="center"/>
          </w:tcPr>
          <w:p w14:paraId="0AD5146B" w14:textId="77777777" w:rsidR="00304320" w:rsidRPr="00202482" w:rsidRDefault="00304320" w:rsidP="008C01F0">
            <w:pPr>
              <w:jc w:val="center"/>
            </w:pPr>
            <w:r w:rsidRPr="00202482">
              <w:t>17 02 03</w:t>
            </w:r>
          </w:p>
        </w:tc>
        <w:tc>
          <w:tcPr>
            <w:tcW w:w="6401" w:type="dxa"/>
            <w:vAlign w:val="center"/>
          </w:tcPr>
          <w:p w14:paraId="2B7D14BB" w14:textId="77777777" w:rsidR="00304320" w:rsidRPr="00202482" w:rsidRDefault="00304320" w:rsidP="008C01F0">
            <w:pPr>
              <w:jc w:val="center"/>
            </w:pPr>
            <w:r w:rsidRPr="00202482">
              <w:t>Plasty</w:t>
            </w:r>
          </w:p>
        </w:tc>
        <w:tc>
          <w:tcPr>
            <w:tcW w:w="1781" w:type="dxa"/>
            <w:vAlign w:val="center"/>
          </w:tcPr>
          <w:p w14:paraId="789104D3" w14:textId="77777777" w:rsidR="00304320" w:rsidRPr="00202482" w:rsidRDefault="00304320" w:rsidP="008C01F0">
            <w:pPr>
              <w:jc w:val="center"/>
            </w:pPr>
            <w:r w:rsidRPr="00202482">
              <w:t>O</w:t>
            </w:r>
          </w:p>
        </w:tc>
      </w:tr>
      <w:tr w:rsidR="00304320" w:rsidRPr="00202482" w14:paraId="4D2C450B" w14:textId="77777777" w:rsidTr="008C01F0">
        <w:trPr>
          <w:trHeight w:val="250"/>
          <w:jc w:val="center"/>
        </w:trPr>
        <w:tc>
          <w:tcPr>
            <w:tcW w:w="1477" w:type="dxa"/>
            <w:vAlign w:val="center"/>
          </w:tcPr>
          <w:p w14:paraId="4E53FC91" w14:textId="77777777" w:rsidR="00304320" w:rsidRPr="00202482" w:rsidRDefault="00304320" w:rsidP="008C01F0">
            <w:pPr>
              <w:jc w:val="center"/>
            </w:pPr>
            <w:r w:rsidRPr="00202482">
              <w:t>17 04 05</w:t>
            </w:r>
          </w:p>
        </w:tc>
        <w:tc>
          <w:tcPr>
            <w:tcW w:w="6401" w:type="dxa"/>
            <w:vAlign w:val="center"/>
          </w:tcPr>
          <w:p w14:paraId="070D1AAD" w14:textId="77777777" w:rsidR="00304320" w:rsidRPr="00202482" w:rsidRDefault="00304320" w:rsidP="008C01F0">
            <w:pPr>
              <w:jc w:val="center"/>
            </w:pPr>
            <w:r w:rsidRPr="00202482">
              <w:t>Železo a oceľ</w:t>
            </w:r>
          </w:p>
        </w:tc>
        <w:tc>
          <w:tcPr>
            <w:tcW w:w="1781" w:type="dxa"/>
            <w:vAlign w:val="center"/>
          </w:tcPr>
          <w:p w14:paraId="1CC503B7" w14:textId="77777777" w:rsidR="00304320" w:rsidRPr="00202482" w:rsidRDefault="00304320" w:rsidP="008C01F0">
            <w:pPr>
              <w:jc w:val="center"/>
            </w:pPr>
            <w:r w:rsidRPr="00202482">
              <w:t>O</w:t>
            </w:r>
          </w:p>
        </w:tc>
      </w:tr>
      <w:tr w:rsidR="00304320" w:rsidRPr="00202482" w14:paraId="1AC7E917" w14:textId="77777777" w:rsidTr="008C01F0">
        <w:trPr>
          <w:trHeight w:val="250"/>
          <w:jc w:val="center"/>
        </w:trPr>
        <w:tc>
          <w:tcPr>
            <w:tcW w:w="1477" w:type="dxa"/>
            <w:vAlign w:val="center"/>
          </w:tcPr>
          <w:p w14:paraId="36618E5D" w14:textId="77777777" w:rsidR="00304320" w:rsidRPr="00202482" w:rsidRDefault="00304320" w:rsidP="008C01F0">
            <w:pPr>
              <w:jc w:val="center"/>
            </w:pPr>
            <w:r w:rsidRPr="00202482">
              <w:t>17 04 11</w:t>
            </w:r>
          </w:p>
        </w:tc>
        <w:tc>
          <w:tcPr>
            <w:tcW w:w="6401" w:type="dxa"/>
            <w:vAlign w:val="center"/>
          </w:tcPr>
          <w:p w14:paraId="579F57AE" w14:textId="77777777" w:rsidR="00304320" w:rsidRPr="00202482" w:rsidRDefault="00304320" w:rsidP="008C01F0">
            <w:pPr>
              <w:jc w:val="center"/>
            </w:pPr>
            <w:r w:rsidRPr="00202482">
              <w:t>Káble iné ako uvedené v 17 04 10</w:t>
            </w:r>
          </w:p>
        </w:tc>
        <w:tc>
          <w:tcPr>
            <w:tcW w:w="1781" w:type="dxa"/>
            <w:vAlign w:val="center"/>
          </w:tcPr>
          <w:p w14:paraId="16F39C82" w14:textId="77777777" w:rsidR="00304320" w:rsidRPr="00202482" w:rsidRDefault="00304320" w:rsidP="008C01F0">
            <w:pPr>
              <w:jc w:val="center"/>
            </w:pPr>
          </w:p>
        </w:tc>
      </w:tr>
      <w:tr w:rsidR="00304320" w:rsidRPr="00202482" w14:paraId="6F9DE580" w14:textId="77777777" w:rsidTr="008C01F0">
        <w:trPr>
          <w:trHeight w:val="134"/>
          <w:jc w:val="center"/>
        </w:trPr>
        <w:tc>
          <w:tcPr>
            <w:tcW w:w="1477" w:type="dxa"/>
            <w:vAlign w:val="center"/>
          </w:tcPr>
          <w:p w14:paraId="0245E43C" w14:textId="77777777" w:rsidR="00304320" w:rsidRPr="00202482" w:rsidRDefault="00304320" w:rsidP="008C01F0">
            <w:pPr>
              <w:jc w:val="center"/>
            </w:pPr>
            <w:r w:rsidRPr="00202482">
              <w:t>17 05 03</w:t>
            </w:r>
          </w:p>
        </w:tc>
        <w:tc>
          <w:tcPr>
            <w:tcW w:w="6401" w:type="dxa"/>
            <w:vAlign w:val="center"/>
          </w:tcPr>
          <w:p w14:paraId="4E519335" w14:textId="77777777" w:rsidR="00304320" w:rsidRPr="00202482" w:rsidRDefault="00304320" w:rsidP="008C01F0">
            <w:pPr>
              <w:jc w:val="center"/>
            </w:pPr>
            <w:r w:rsidRPr="00202482">
              <w:t>Zemina a kamenivo obsahujúce nebezpečné látky</w:t>
            </w:r>
          </w:p>
        </w:tc>
        <w:tc>
          <w:tcPr>
            <w:tcW w:w="1781" w:type="dxa"/>
            <w:vAlign w:val="center"/>
          </w:tcPr>
          <w:p w14:paraId="2A89480D" w14:textId="77777777" w:rsidR="00304320" w:rsidRPr="00202482" w:rsidRDefault="00304320" w:rsidP="008C01F0">
            <w:pPr>
              <w:jc w:val="center"/>
            </w:pPr>
            <w:r w:rsidRPr="00202482">
              <w:t>N</w:t>
            </w:r>
          </w:p>
        </w:tc>
      </w:tr>
      <w:tr w:rsidR="00304320" w:rsidRPr="00202482" w14:paraId="61AC38FB" w14:textId="77777777" w:rsidTr="008C01F0">
        <w:trPr>
          <w:trHeight w:val="170"/>
          <w:jc w:val="center"/>
        </w:trPr>
        <w:tc>
          <w:tcPr>
            <w:tcW w:w="1477" w:type="dxa"/>
            <w:vAlign w:val="center"/>
          </w:tcPr>
          <w:p w14:paraId="177A43FB" w14:textId="77777777" w:rsidR="00304320" w:rsidRPr="00202482" w:rsidRDefault="00304320" w:rsidP="008C01F0">
            <w:pPr>
              <w:jc w:val="center"/>
            </w:pPr>
            <w:r w:rsidRPr="00202482">
              <w:t>17 05 04</w:t>
            </w:r>
          </w:p>
        </w:tc>
        <w:tc>
          <w:tcPr>
            <w:tcW w:w="6401" w:type="dxa"/>
            <w:vAlign w:val="center"/>
          </w:tcPr>
          <w:p w14:paraId="488EBDFD" w14:textId="77777777" w:rsidR="00304320" w:rsidRPr="00202482" w:rsidRDefault="00304320" w:rsidP="008C01F0">
            <w:pPr>
              <w:jc w:val="center"/>
            </w:pPr>
            <w:r w:rsidRPr="00202482">
              <w:t>Zemina a kamenivo iné ako uvedená v 17 05 03</w:t>
            </w:r>
          </w:p>
        </w:tc>
        <w:tc>
          <w:tcPr>
            <w:tcW w:w="1781" w:type="dxa"/>
            <w:vAlign w:val="center"/>
          </w:tcPr>
          <w:p w14:paraId="271B6987" w14:textId="77777777" w:rsidR="00304320" w:rsidRPr="00202482" w:rsidRDefault="00304320" w:rsidP="008C01F0">
            <w:pPr>
              <w:jc w:val="center"/>
            </w:pPr>
            <w:r w:rsidRPr="00202482">
              <w:t>O</w:t>
            </w:r>
          </w:p>
        </w:tc>
      </w:tr>
      <w:tr w:rsidR="00304320" w:rsidRPr="00202482" w14:paraId="36EF65C7" w14:textId="77777777" w:rsidTr="008C01F0">
        <w:trPr>
          <w:trHeight w:val="250"/>
          <w:jc w:val="center"/>
        </w:trPr>
        <w:tc>
          <w:tcPr>
            <w:tcW w:w="1477" w:type="dxa"/>
            <w:vAlign w:val="center"/>
          </w:tcPr>
          <w:p w14:paraId="2712E654" w14:textId="77777777" w:rsidR="00304320" w:rsidRPr="00202482" w:rsidRDefault="00304320" w:rsidP="008C01F0">
            <w:pPr>
              <w:jc w:val="center"/>
            </w:pPr>
            <w:r w:rsidRPr="00202482">
              <w:lastRenderedPageBreak/>
              <w:t>17 09 04</w:t>
            </w:r>
          </w:p>
        </w:tc>
        <w:tc>
          <w:tcPr>
            <w:tcW w:w="6401" w:type="dxa"/>
            <w:vAlign w:val="center"/>
          </w:tcPr>
          <w:p w14:paraId="1B1AE2A2" w14:textId="77777777" w:rsidR="00304320" w:rsidRPr="00202482" w:rsidRDefault="00304320" w:rsidP="008C01F0">
            <w:pPr>
              <w:jc w:val="center"/>
            </w:pPr>
            <w:r w:rsidRPr="00202482">
              <w:t>Zmiešané odpady zo stavieb a demolácií</w:t>
            </w:r>
          </w:p>
        </w:tc>
        <w:tc>
          <w:tcPr>
            <w:tcW w:w="1781" w:type="dxa"/>
            <w:vAlign w:val="center"/>
          </w:tcPr>
          <w:p w14:paraId="71752A94" w14:textId="77777777" w:rsidR="00304320" w:rsidRPr="00202482" w:rsidRDefault="00304320" w:rsidP="008C01F0">
            <w:pPr>
              <w:jc w:val="center"/>
            </w:pPr>
            <w:r w:rsidRPr="00202482">
              <w:t>O</w:t>
            </w:r>
          </w:p>
        </w:tc>
      </w:tr>
      <w:tr w:rsidR="00304320" w:rsidRPr="00202482" w14:paraId="08B56631" w14:textId="77777777" w:rsidTr="008C01F0">
        <w:trPr>
          <w:trHeight w:val="250"/>
          <w:jc w:val="center"/>
        </w:trPr>
        <w:tc>
          <w:tcPr>
            <w:tcW w:w="1477" w:type="dxa"/>
            <w:vAlign w:val="center"/>
          </w:tcPr>
          <w:p w14:paraId="1920606E" w14:textId="77777777" w:rsidR="00304320" w:rsidRPr="00202482" w:rsidRDefault="00304320" w:rsidP="008C01F0">
            <w:pPr>
              <w:jc w:val="center"/>
            </w:pPr>
            <w:r w:rsidRPr="00202482">
              <w:t>20 03 01</w:t>
            </w:r>
          </w:p>
        </w:tc>
        <w:tc>
          <w:tcPr>
            <w:tcW w:w="6401" w:type="dxa"/>
            <w:vAlign w:val="center"/>
          </w:tcPr>
          <w:p w14:paraId="0A202D56" w14:textId="77777777" w:rsidR="00304320" w:rsidRPr="00202482" w:rsidRDefault="00304320" w:rsidP="008C01F0">
            <w:pPr>
              <w:jc w:val="center"/>
            </w:pPr>
            <w:r w:rsidRPr="00202482">
              <w:t>Zmesový komunálny odpad</w:t>
            </w:r>
          </w:p>
        </w:tc>
        <w:tc>
          <w:tcPr>
            <w:tcW w:w="1781" w:type="dxa"/>
            <w:vAlign w:val="center"/>
          </w:tcPr>
          <w:p w14:paraId="0F77F9C3" w14:textId="77777777" w:rsidR="00304320" w:rsidRPr="00202482" w:rsidRDefault="00304320" w:rsidP="008C01F0">
            <w:pPr>
              <w:jc w:val="center"/>
            </w:pPr>
            <w:r w:rsidRPr="00202482">
              <w:t>O</w:t>
            </w:r>
          </w:p>
        </w:tc>
      </w:tr>
    </w:tbl>
    <w:p w14:paraId="055AFCA8" w14:textId="77777777" w:rsidR="00304320" w:rsidRPr="000C105F" w:rsidRDefault="00304320" w:rsidP="000B75BC">
      <w:pPr>
        <w:rPr>
          <w:b/>
        </w:rPr>
      </w:pPr>
    </w:p>
    <w:p w14:paraId="596DA549" w14:textId="77777777" w:rsidR="00304320" w:rsidRPr="0016587E" w:rsidRDefault="00304320" w:rsidP="00304320">
      <w:pPr>
        <w:rPr>
          <w:b/>
        </w:rPr>
      </w:pPr>
      <w:r w:rsidRPr="0016587E">
        <w:rPr>
          <w:b/>
        </w:rPr>
        <w:t xml:space="preserve">Hluk a vibrácie </w:t>
      </w:r>
    </w:p>
    <w:p w14:paraId="5E6ACCD1" w14:textId="77777777" w:rsidR="00304320" w:rsidRDefault="00304320" w:rsidP="00304320">
      <w:r>
        <w:t>Navrhovaná činnosť je situovaná v zóne, ktorá je funkčne vymedzená ako polyfunkčné plochy pre výrobu, služby a vybavenosť. Zdrojom hluku by v tomto prípade mohli byť samotné technologické celky ktoré tu budú používané, nákladná a osobná doprava. Z dôvodu vhodného umiestnenia však realizácia zmeny posudzovanej činnosti nebude mať vplyv na hlukovú záťaž obyvateľstva. Z hľadiska kumulatívnych vplyvov, v prípade prevádzky pôvodnej výroby a navrhovanej zmeny, považujeme dopady na hlukovú záťaž obyvateľstva za minimálne.</w:t>
      </w:r>
    </w:p>
    <w:p w14:paraId="4240576D" w14:textId="77777777" w:rsidR="00304320" w:rsidRDefault="00304320" w:rsidP="00304320">
      <w:pPr>
        <w:rPr>
          <w:b/>
        </w:rPr>
      </w:pPr>
    </w:p>
    <w:p w14:paraId="3966C0D9" w14:textId="77777777" w:rsidR="00304320" w:rsidRDefault="00304320" w:rsidP="00304320">
      <w:r w:rsidRPr="00E27FBB">
        <w:rPr>
          <w:b/>
        </w:rPr>
        <w:t>Žiarenie a iné fyzikálne poli</w:t>
      </w:r>
      <w:r>
        <w:t xml:space="preserve">a </w:t>
      </w:r>
    </w:p>
    <w:p w14:paraId="36010CEA" w14:textId="77777777" w:rsidR="00304320" w:rsidRDefault="00304320" w:rsidP="00304320">
      <w:r>
        <w:t xml:space="preserve">Jestvujúca prevádzka nepredstavuje významný zdroj tepla. Počas  prevádzky nebude žiadne zariadenie zdrojom žiarenia a iných fyzikálnych polí v takej podobe a intenzite, že by  dochádzalo k ovplyvňovaniu pohody zamestnancov a obyvateľov v okolí. </w:t>
      </w:r>
    </w:p>
    <w:p w14:paraId="61593CCE" w14:textId="77777777" w:rsidR="00304320" w:rsidRDefault="00304320" w:rsidP="00304320">
      <w:r>
        <w:t>Realizácia zmeny posudzovanej činnosti nemá vplyv na uvedený stav.</w:t>
      </w:r>
    </w:p>
    <w:p w14:paraId="377E95D6" w14:textId="77777777" w:rsidR="00304320" w:rsidRDefault="00304320" w:rsidP="00304320"/>
    <w:p w14:paraId="0E46F4E8" w14:textId="77777777" w:rsidR="00304320" w:rsidRPr="00E27FBB" w:rsidRDefault="00304320" w:rsidP="00304320">
      <w:pPr>
        <w:rPr>
          <w:b/>
        </w:rPr>
      </w:pPr>
      <w:r w:rsidRPr="00E27FBB">
        <w:rPr>
          <w:b/>
        </w:rPr>
        <w:t xml:space="preserve">Zápach a iné výstupy </w:t>
      </w:r>
    </w:p>
    <w:p w14:paraId="532E2AAB" w14:textId="77777777" w:rsidR="00304320" w:rsidRDefault="00304320" w:rsidP="00304320">
      <w:r>
        <w:t xml:space="preserve">Počas prevádzky jestvujúce zariadenie nie je zdrojom zápachu a iných výstupov v takej podobe a intenzite, že by dochádzalo k ovplyvňovaniu pohody zamestnancov a obyvateľov v okolí, výstup v podobe zápachu, ktorý by nadmieru obťažoval okolie je nepravdepodobný a doteraz nebol žiaden zaznamenaný. </w:t>
      </w:r>
    </w:p>
    <w:p w14:paraId="0C528D96" w14:textId="77777777" w:rsidR="000C105F" w:rsidRPr="00646379" w:rsidRDefault="000C105F" w:rsidP="000B75BC">
      <w:pPr>
        <w:rPr>
          <w:highlight w:val="yellow"/>
        </w:rPr>
      </w:pPr>
    </w:p>
    <w:p w14:paraId="2568A481" w14:textId="77777777" w:rsidR="00BF5892" w:rsidRPr="00E373DA" w:rsidRDefault="00BF5892" w:rsidP="00BF5892">
      <w:pPr>
        <w:pStyle w:val="Nadpis2"/>
        <w:numPr>
          <w:ilvl w:val="0"/>
          <w:numId w:val="3"/>
        </w:numPr>
        <w:spacing w:line="240" w:lineRule="auto"/>
        <w:rPr>
          <w:i w:val="0"/>
        </w:rPr>
      </w:pPr>
      <w:bookmarkStart w:id="23" w:name="_Toc31615199"/>
      <w:r w:rsidRPr="00E373DA">
        <w:rPr>
          <w:i w:val="0"/>
        </w:rPr>
        <w:t>Prepojenie s ostatnými plánovanými a realizovanými činnosťami v dotknutom území a možné riziká havárií vzhľadom na použité látky a technológie</w:t>
      </w:r>
      <w:bookmarkEnd w:id="23"/>
    </w:p>
    <w:p w14:paraId="3A7BA22F" w14:textId="77777777" w:rsidR="00F812A7" w:rsidRPr="00646379" w:rsidRDefault="00F812A7" w:rsidP="00F812A7">
      <w:pPr>
        <w:rPr>
          <w:b/>
          <w:highlight w:val="yellow"/>
        </w:rPr>
      </w:pPr>
    </w:p>
    <w:p w14:paraId="3409BD31" w14:textId="77777777" w:rsidR="00BF5892" w:rsidRPr="00E373DA" w:rsidRDefault="00BF5892" w:rsidP="00F812A7">
      <w:pPr>
        <w:rPr>
          <w:b/>
          <w:u w:val="single"/>
        </w:rPr>
      </w:pPr>
      <w:r w:rsidRPr="00E373DA">
        <w:rPr>
          <w:b/>
          <w:u w:val="single"/>
        </w:rPr>
        <w:t>Prepojenie s ostatnými činnosťami</w:t>
      </w:r>
    </w:p>
    <w:p w14:paraId="74ABCBA7" w14:textId="69C33223" w:rsidR="00F812A7" w:rsidRPr="00E373DA" w:rsidRDefault="00E373DA" w:rsidP="00F812A7">
      <w:r>
        <w:t>Navrhovaná zmena bude priamo prepojená s existujúcou výrobou plastových súčiastok automobilov ktorá už v prevádzke prebieha. Inštalované tu budú technologicky podobné zariadenia a budú sa tu vyrábať produkty totožné s pôvodnou výrobou. Plánovaná zmena bude taktiež nadväzovať na existujú infraštruktúru podniku.</w:t>
      </w:r>
      <w:r w:rsidR="003A4474" w:rsidRPr="00E373DA">
        <w:t xml:space="preserve"> </w:t>
      </w:r>
    </w:p>
    <w:p w14:paraId="7DB0B11D" w14:textId="77777777" w:rsidR="00B3482A" w:rsidRPr="00E373DA" w:rsidRDefault="00B3482A" w:rsidP="00F812A7">
      <w:pPr>
        <w:rPr>
          <w:b/>
        </w:rPr>
      </w:pPr>
    </w:p>
    <w:p w14:paraId="7E8791A7" w14:textId="77777777" w:rsidR="00BF5892" w:rsidRPr="004C49F0" w:rsidRDefault="00BF5892" w:rsidP="00BF5892">
      <w:pPr>
        <w:rPr>
          <w:b/>
          <w:u w:val="single"/>
        </w:rPr>
      </w:pPr>
      <w:r w:rsidRPr="004C49F0">
        <w:rPr>
          <w:b/>
          <w:u w:val="single"/>
        </w:rPr>
        <w:t>Možné havarijné situácie</w:t>
      </w:r>
    </w:p>
    <w:p w14:paraId="0E648FCC" w14:textId="2A77A266" w:rsidR="00E373DA" w:rsidRDefault="00E373DA" w:rsidP="00E373DA">
      <w:r>
        <w:t xml:space="preserve">V prípade pôvodnej činnosti nedôjde pri realizácii navrhovanej zmeny v charaktere havarijných situácii k zmene. </w:t>
      </w:r>
    </w:p>
    <w:p w14:paraId="42ED501D" w14:textId="77777777" w:rsidR="00E373DA" w:rsidRPr="006506EB" w:rsidRDefault="00E373DA" w:rsidP="00E373DA">
      <w:r w:rsidRPr="006506EB">
        <w:t xml:space="preserve">Za dodržania všetkých prevádzkových, organizačných, požiarnych a bezpečnostných predpisov by malo byť eliminované riziko posudzovanej činnosti počas jej výstavby aj prevádzky. Potenciálne riziká poškodenia, alebo ohrozenia životného prostredia môžu vzniknúť v dôsledku nasledovných príčin: </w:t>
      </w:r>
    </w:p>
    <w:p w14:paraId="25273B8F" w14:textId="77777777" w:rsidR="00E373DA" w:rsidRPr="006506EB" w:rsidRDefault="00E373DA" w:rsidP="00E373DA">
      <w:pPr>
        <w:pStyle w:val="Odsekzoznamu"/>
        <w:numPr>
          <w:ilvl w:val="0"/>
          <w:numId w:val="25"/>
        </w:numPr>
        <w:spacing w:before="60" w:after="60"/>
      </w:pPr>
      <w:r w:rsidRPr="006506EB">
        <w:t>zlyhanie technických opatrení (havárie stavebných mechanizmov a dopravných prostriedkov, porušenie tesnosti izolačných vrstiev, nesprávne zaobchádzanie so skladovanými surovinami, únava materiálu a pod.),</w:t>
      </w:r>
    </w:p>
    <w:p w14:paraId="6D249A50" w14:textId="77777777" w:rsidR="00E373DA" w:rsidRPr="006506EB" w:rsidRDefault="00E373DA" w:rsidP="00E373DA">
      <w:pPr>
        <w:pStyle w:val="Odsekzoznamu"/>
        <w:numPr>
          <w:ilvl w:val="0"/>
          <w:numId w:val="25"/>
        </w:numPr>
        <w:spacing w:before="60" w:after="60"/>
      </w:pPr>
      <w:r w:rsidRPr="006506EB">
        <w:lastRenderedPageBreak/>
        <w:t>zlyhanie ľudského faktora (nedodržanie pracovnej alebo technologickej disciplíny pri výstavbe, ...),</w:t>
      </w:r>
    </w:p>
    <w:p w14:paraId="3040E633" w14:textId="77777777" w:rsidR="00E373DA" w:rsidRPr="006506EB" w:rsidRDefault="00E373DA" w:rsidP="00E373DA">
      <w:pPr>
        <w:pStyle w:val="Odsekzoznamu"/>
        <w:numPr>
          <w:ilvl w:val="0"/>
          <w:numId w:val="25"/>
        </w:numPr>
        <w:spacing w:before="60" w:after="60"/>
      </w:pPr>
      <w:r w:rsidRPr="006506EB">
        <w:t>sabotáže, vlámania a krádeže,</w:t>
      </w:r>
    </w:p>
    <w:p w14:paraId="44CC052C" w14:textId="77777777" w:rsidR="00E373DA" w:rsidRPr="006506EB" w:rsidRDefault="00E373DA" w:rsidP="00E373DA">
      <w:pPr>
        <w:pStyle w:val="Odsekzoznamu"/>
        <w:numPr>
          <w:ilvl w:val="0"/>
          <w:numId w:val="25"/>
        </w:numPr>
        <w:spacing w:before="60" w:after="60"/>
      </w:pPr>
      <w:r w:rsidRPr="006506EB">
        <w:t>vonkajšie vplyvy (neovplyvniteľné udalosti – finančný krach prevádzkovateľa, ...),</w:t>
      </w:r>
    </w:p>
    <w:p w14:paraId="61EF503C" w14:textId="77777777" w:rsidR="00E373DA" w:rsidRPr="006506EB" w:rsidRDefault="00E373DA" w:rsidP="00E373DA">
      <w:pPr>
        <w:pStyle w:val="Odsekzoznamu"/>
        <w:numPr>
          <w:ilvl w:val="0"/>
          <w:numId w:val="25"/>
        </w:numPr>
        <w:spacing w:before="60" w:after="60"/>
      </w:pPr>
      <w:r w:rsidRPr="006506EB">
        <w:t>prírodné sily (prívalové dažde, povodne, úder blesku, zemetrasenie, ...).</w:t>
      </w:r>
    </w:p>
    <w:p w14:paraId="34E5F32D" w14:textId="77777777" w:rsidR="00E373DA" w:rsidRPr="006506EB" w:rsidRDefault="00E373DA" w:rsidP="00E373DA">
      <w:pPr>
        <w:pStyle w:val="Odsekzoznamu"/>
        <w:spacing w:before="60" w:after="60"/>
      </w:pPr>
    </w:p>
    <w:p w14:paraId="74AED5F8" w14:textId="77777777" w:rsidR="00E373DA" w:rsidRPr="006506EB" w:rsidRDefault="00E373DA" w:rsidP="00E373DA">
      <w:pPr>
        <w:spacing w:before="60" w:after="60"/>
        <w:contextualSpacing/>
      </w:pPr>
      <w:r w:rsidRPr="006506EB">
        <w:t>Nehody a havárie môžu mať tieto následky:</w:t>
      </w:r>
    </w:p>
    <w:p w14:paraId="72537604" w14:textId="77777777" w:rsidR="00E373DA" w:rsidRDefault="00E373DA" w:rsidP="00E373DA">
      <w:pPr>
        <w:pStyle w:val="Odsekzoznamu"/>
        <w:numPr>
          <w:ilvl w:val="0"/>
          <w:numId w:val="25"/>
        </w:numPr>
        <w:spacing w:before="60" w:after="60"/>
      </w:pPr>
      <w:r w:rsidRPr="006506EB">
        <w:t>kontaminácia horninového prostredia</w:t>
      </w:r>
    </w:p>
    <w:p w14:paraId="06E35917" w14:textId="77777777" w:rsidR="00E373DA" w:rsidRPr="006506EB" w:rsidRDefault="00E373DA" w:rsidP="00E373DA">
      <w:pPr>
        <w:pStyle w:val="Odsekzoznamu"/>
        <w:numPr>
          <w:ilvl w:val="0"/>
          <w:numId w:val="25"/>
        </w:numPr>
        <w:spacing w:before="60" w:after="60"/>
      </w:pPr>
      <w:r>
        <w:t>neovládateľný únik znečisťujúcich látok do ovzdušia</w:t>
      </w:r>
    </w:p>
    <w:p w14:paraId="5ADD6E8B" w14:textId="77777777" w:rsidR="00E373DA" w:rsidRPr="006506EB" w:rsidRDefault="00E373DA" w:rsidP="00E373DA">
      <w:pPr>
        <w:pStyle w:val="Odsekzoznamu"/>
        <w:numPr>
          <w:ilvl w:val="0"/>
          <w:numId w:val="25"/>
        </w:numPr>
        <w:spacing w:before="60" w:after="60"/>
      </w:pPr>
      <w:r w:rsidRPr="006506EB">
        <w:t>požiar,</w:t>
      </w:r>
    </w:p>
    <w:p w14:paraId="7BE6A442" w14:textId="77777777" w:rsidR="00E373DA" w:rsidRPr="006506EB" w:rsidRDefault="00E373DA" w:rsidP="00E373DA">
      <w:pPr>
        <w:pStyle w:val="Odsekzoznamu"/>
        <w:numPr>
          <w:ilvl w:val="0"/>
          <w:numId w:val="25"/>
        </w:numPr>
        <w:spacing w:before="60" w:after="60"/>
      </w:pPr>
      <w:r w:rsidRPr="006506EB">
        <w:t>škody na majetku,</w:t>
      </w:r>
    </w:p>
    <w:p w14:paraId="5A38690B" w14:textId="77777777" w:rsidR="00E373DA" w:rsidRPr="006506EB" w:rsidRDefault="00E373DA" w:rsidP="00E373DA">
      <w:pPr>
        <w:pStyle w:val="Odsekzoznamu"/>
        <w:numPr>
          <w:ilvl w:val="0"/>
          <w:numId w:val="25"/>
        </w:numPr>
        <w:spacing w:before="60" w:after="60"/>
      </w:pPr>
      <w:r w:rsidRPr="006506EB">
        <w:t>poškodenie zdravia, až smrť.</w:t>
      </w:r>
    </w:p>
    <w:p w14:paraId="4122A895" w14:textId="77777777" w:rsidR="00E373DA" w:rsidRPr="006506EB" w:rsidRDefault="00E373DA" w:rsidP="00E373DA"/>
    <w:p w14:paraId="69AA30F2" w14:textId="77777777" w:rsidR="00E373DA" w:rsidRPr="006506EB" w:rsidRDefault="00E373DA" w:rsidP="00E373DA">
      <w:r w:rsidRPr="006506EB">
        <w:t>Väčšina rizík je však na úrovni pracovnej disciplíny a dodržiavania bezpečnostných zásad (v pracovnom procese), takže prevenciou je predovšetkým osobná úroveň vzdelania a miera zodpovednosti a spôsobilosti vykonávať danú činnosť.</w:t>
      </w:r>
    </w:p>
    <w:p w14:paraId="4124A56E" w14:textId="77777777" w:rsidR="00E373DA" w:rsidRPr="006506EB" w:rsidRDefault="00E373DA" w:rsidP="00E373DA">
      <w:r>
        <w:tab/>
      </w:r>
      <w:r w:rsidRPr="006506EB">
        <w:t xml:space="preserve">Vo všeobecnosti prevenčným opatrením k nepredvídaným situáciám a haváriám je vypracovanie havarijných plánov a manipulačných poriadkov a riadne zaškolenie pracovníkov. </w:t>
      </w:r>
    </w:p>
    <w:p w14:paraId="1AFAC5F9" w14:textId="77777777" w:rsidR="00F85BEC" w:rsidRPr="00646379" w:rsidRDefault="00F85BEC" w:rsidP="00BF5892">
      <w:pPr>
        <w:rPr>
          <w:highlight w:val="yellow"/>
          <w:u w:val="single"/>
        </w:rPr>
      </w:pPr>
    </w:p>
    <w:p w14:paraId="2189990E" w14:textId="77777777" w:rsidR="00BF5892" w:rsidRPr="00646379" w:rsidRDefault="00BF5892" w:rsidP="00BF5892">
      <w:pPr>
        <w:pStyle w:val="Nadpis2"/>
        <w:numPr>
          <w:ilvl w:val="0"/>
          <w:numId w:val="3"/>
        </w:numPr>
        <w:spacing w:line="240" w:lineRule="auto"/>
        <w:rPr>
          <w:i w:val="0"/>
        </w:rPr>
      </w:pPr>
      <w:bookmarkStart w:id="24" w:name="_Toc31615200"/>
      <w:r w:rsidRPr="00646379">
        <w:rPr>
          <w:i w:val="0"/>
        </w:rPr>
        <w:t>Druh požadovaného povolenia navrhovanej činnosti podľa osobitných predpisov</w:t>
      </w:r>
      <w:bookmarkEnd w:id="24"/>
    </w:p>
    <w:p w14:paraId="36C17F62" w14:textId="77777777" w:rsidR="00BF5892" w:rsidRPr="00646379" w:rsidRDefault="00BF5892" w:rsidP="00BF5892"/>
    <w:p w14:paraId="3840AF83" w14:textId="77777777" w:rsidR="00646379" w:rsidRPr="0090457E" w:rsidRDefault="00646379" w:rsidP="00646379">
      <w:pPr>
        <w:numPr>
          <w:ilvl w:val="0"/>
          <w:numId w:val="20"/>
        </w:numPr>
      </w:pPr>
      <w:r w:rsidRPr="0090457E">
        <w:t>Rozhodnutie o umiestnení stavby a stavebné povolenie podľa zákona č. 50/1976 Zb. o územnom plánovaní a stavebnom poriadku (stavebný zákon) v znení neskorších predpisov</w:t>
      </w:r>
    </w:p>
    <w:p w14:paraId="249A176C" w14:textId="77777777" w:rsidR="00646379" w:rsidRPr="0090457E" w:rsidRDefault="00646379" w:rsidP="00646379"/>
    <w:p w14:paraId="4681541D" w14:textId="77777777" w:rsidR="00646379" w:rsidRPr="0090457E" w:rsidRDefault="00646379" w:rsidP="00646379">
      <w:pPr>
        <w:ind w:firstLine="720"/>
        <w:rPr>
          <w:lang w:eastAsia="en-US"/>
        </w:rPr>
      </w:pPr>
      <w:r w:rsidRPr="0090457E">
        <w:t>V územnom rozhodnutí stavebný úrad vymedzí územie na navrhovaný účel a určí podmienky, ktorými sa zabezpečia záujmy spoločnosti na území, najmä súlad s cieľmi a zámermi územného plánovania, vecná a časová koordinácia jednotlivých stavieb a iných opatrení v území a predovšetkým starostlivosť o životné prostredie, vrátane architektonických a urbanistických hodnôt v území a rozhodne o námietkach účastníkov konania.</w:t>
      </w:r>
    </w:p>
    <w:p w14:paraId="6A84BA1E" w14:textId="77777777" w:rsidR="00646379" w:rsidRPr="0090457E" w:rsidRDefault="00646379" w:rsidP="00646379">
      <w:pPr>
        <w:ind w:firstLine="720"/>
      </w:pPr>
      <w:r w:rsidRPr="0090457E">
        <w:rPr>
          <w:rFonts w:eastAsia="Calibri"/>
        </w:rPr>
        <w:t>Závery z procesu posudzovania vplyvov navrhovanej činnosti na životne prostredie budú jedným z podkladov pre vydanie územného rozhodnutia podľa zákona č. 50/1976 Zb. o územnom plánovaní a stavebnom poriadku v znení neskorších predpisov.</w:t>
      </w:r>
    </w:p>
    <w:p w14:paraId="00E50C16" w14:textId="77777777" w:rsidR="00646379" w:rsidRPr="0090457E" w:rsidRDefault="00646379" w:rsidP="00646379">
      <w:pPr>
        <w:autoSpaceDE w:val="0"/>
        <w:autoSpaceDN w:val="0"/>
        <w:adjustRightInd w:val="0"/>
      </w:pPr>
      <w:r w:rsidRPr="0090457E">
        <w:tab/>
        <w:t>Po získaní územného rozhodnutia nastáva fáza projektovania stavebného objektu. Jej cieľom je vytvorenie projektovej dokumentácie slúžiacej na vydanie stavebného povolenia. Projekt stavebného objektu je jeho architektonické, stavebno-konštrukčné a technologické riešenie, vyjadrené grafickou a písomnou formou. Obsahuje aj postup jeho prípravy a realizáciu (POV) a dokladovú časť.</w:t>
      </w:r>
    </w:p>
    <w:p w14:paraId="6E0D4CC8" w14:textId="4A9DF912" w:rsidR="00505BF7" w:rsidRDefault="00505BF7" w:rsidP="00BF5892"/>
    <w:p w14:paraId="29691576" w14:textId="3F691540" w:rsidR="007C5303" w:rsidRDefault="007C5303" w:rsidP="00BF5892"/>
    <w:p w14:paraId="3D6119BB" w14:textId="2C9182BC" w:rsidR="007C5303" w:rsidRDefault="007C5303" w:rsidP="00BF5892"/>
    <w:p w14:paraId="6551241C" w14:textId="77777777" w:rsidR="007C5303" w:rsidRPr="00646379" w:rsidRDefault="007C5303" w:rsidP="00BF5892"/>
    <w:p w14:paraId="0F47759E" w14:textId="77777777" w:rsidR="00BF5892" w:rsidRPr="00646379" w:rsidRDefault="00BF5892" w:rsidP="00BF5892">
      <w:pPr>
        <w:pStyle w:val="Nadpis2"/>
        <w:numPr>
          <w:ilvl w:val="0"/>
          <w:numId w:val="3"/>
        </w:numPr>
        <w:spacing w:line="240" w:lineRule="auto"/>
        <w:rPr>
          <w:i w:val="0"/>
        </w:rPr>
      </w:pPr>
      <w:bookmarkStart w:id="25" w:name="_Toc31615201"/>
      <w:r w:rsidRPr="00646379">
        <w:rPr>
          <w:i w:val="0"/>
        </w:rPr>
        <w:lastRenderedPageBreak/>
        <w:t>Vyjadrenie o predpokladaných vplyvoch zmeny navrhovanej činnosti presahujúcich štátne hranice</w:t>
      </w:r>
      <w:bookmarkEnd w:id="25"/>
    </w:p>
    <w:p w14:paraId="4377EF10" w14:textId="77777777" w:rsidR="00BF5892" w:rsidRPr="00646379" w:rsidRDefault="00BF5892" w:rsidP="00BF5892"/>
    <w:p w14:paraId="6B1B0948" w14:textId="77777777" w:rsidR="00BF5892" w:rsidRPr="00646379" w:rsidRDefault="00BF5892" w:rsidP="00BF5892">
      <w:r w:rsidRPr="00646379">
        <w:t>Vplyvy predkladanej zmeny navrhovanej činnosti nepresiahnu štátne hranice Slovenskej republiky.</w:t>
      </w:r>
    </w:p>
    <w:p w14:paraId="07401282" w14:textId="77777777" w:rsidR="00BF5892" w:rsidRPr="00646379" w:rsidRDefault="00BF5892" w:rsidP="00BF5892">
      <w:pPr>
        <w:pStyle w:val="Nadpis2"/>
        <w:numPr>
          <w:ilvl w:val="0"/>
          <w:numId w:val="3"/>
        </w:numPr>
        <w:spacing w:line="240" w:lineRule="auto"/>
        <w:rPr>
          <w:i w:val="0"/>
        </w:rPr>
      </w:pPr>
      <w:bookmarkStart w:id="26" w:name="_Toc31615202"/>
      <w:r w:rsidRPr="00646379">
        <w:rPr>
          <w:i w:val="0"/>
        </w:rPr>
        <w:t>Základné informácie o súčasnom stave životného prostredia dotknutého územia vrátane zdravia ľudí</w:t>
      </w:r>
      <w:bookmarkEnd w:id="26"/>
    </w:p>
    <w:p w14:paraId="4012C8BD" w14:textId="77777777" w:rsidR="00BF5892" w:rsidRPr="00646379" w:rsidRDefault="00BF5892" w:rsidP="00BF5892"/>
    <w:p w14:paraId="2BABC763" w14:textId="674801EC" w:rsidR="009B3D82" w:rsidRDefault="009B3D82" w:rsidP="009B3D82">
      <w:r w:rsidRPr="00646379">
        <w:t>Kvalita životného prostredia v širšom okolí posudzovanej lokality je daná spôsobom využitia územia, ktoré má v riešenom území typický antropogénny charakter. Na znečisťovaní životného prostredia riešeného územia sa podieľa</w:t>
      </w:r>
      <w:r w:rsidR="00A77D75" w:rsidRPr="00646379">
        <w:t>jú predovšetkým</w:t>
      </w:r>
      <w:r w:rsidRPr="00646379">
        <w:t xml:space="preserve"> doprava, služby, osídlenie, poľnohospodárska a priemyselná činnosť. </w:t>
      </w:r>
    </w:p>
    <w:p w14:paraId="32308327" w14:textId="77777777" w:rsidR="00E02A01" w:rsidRDefault="00E02A01" w:rsidP="009B3D82"/>
    <w:p w14:paraId="5A2ACD07" w14:textId="376A9130" w:rsidR="000452BD" w:rsidRPr="000452BD" w:rsidRDefault="000452BD" w:rsidP="009B3D82">
      <w:pPr>
        <w:rPr>
          <w:b/>
          <w:bCs/>
          <w:i/>
          <w:iCs/>
        </w:rPr>
      </w:pPr>
      <w:r w:rsidRPr="000452BD">
        <w:rPr>
          <w:b/>
          <w:bCs/>
          <w:i/>
          <w:iCs/>
        </w:rPr>
        <w:t>Geomorfologické a geologické pomery</w:t>
      </w:r>
    </w:p>
    <w:p w14:paraId="3FF82C85" w14:textId="77777777" w:rsidR="000452BD" w:rsidRPr="00426F74" w:rsidRDefault="000452BD" w:rsidP="000452BD">
      <w:r w:rsidRPr="00426F74">
        <w:t>Posudzované územie možno z hľadiska geomorfologického členenia Slovenska charakterizovať a zaradiť do nasledujúcich geomorfologických jednotiek:</w:t>
      </w:r>
    </w:p>
    <w:p w14:paraId="2ED0C428" w14:textId="77777777" w:rsidR="000452BD" w:rsidRPr="00426F74" w:rsidRDefault="000452BD" w:rsidP="000452BD">
      <w:pPr>
        <w:pStyle w:val="Odsekzoznamu"/>
        <w:numPr>
          <w:ilvl w:val="0"/>
          <w:numId w:val="31"/>
        </w:numPr>
        <w:spacing w:before="40" w:after="40" w:line="276" w:lineRule="auto"/>
      </w:pPr>
      <w:r w:rsidRPr="00426F74">
        <w:t>Sústava – Alpsko-himalájska,</w:t>
      </w:r>
    </w:p>
    <w:p w14:paraId="1A020435" w14:textId="77777777" w:rsidR="000452BD" w:rsidRPr="00426F74" w:rsidRDefault="000452BD" w:rsidP="000452BD">
      <w:pPr>
        <w:pStyle w:val="Odsekzoznamu"/>
        <w:numPr>
          <w:ilvl w:val="0"/>
          <w:numId w:val="31"/>
        </w:numPr>
        <w:spacing w:before="40" w:after="40" w:line="276" w:lineRule="auto"/>
      </w:pPr>
      <w:proofErr w:type="spellStart"/>
      <w:r w:rsidRPr="00426F74">
        <w:t>Podsústava</w:t>
      </w:r>
      <w:proofErr w:type="spellEnd"/>
      <w:r w:rsidRPr="00426F74">
        <w:t xml:space="preserve"> – Karpaty,</w:t>
      </w:r>
    </w:p>
    <w:p w14:paraId="5A681847" w14:textId="77777777" w:rsidR="000452BD" w:rsidRPr="00426F74" w:rsidRDefault="000452BD" w:rsidP="000452BD">
      <w:pPr>
        <w:pStyle w:val="Odsekzoznamu"/>
        <w:numPr>
          <w:ilvl w:val="0"/>
          <w:numId w:val="31"/>
        </w:numPr>
        <w:spacing w:before="40" w:after="40" w:line="276" w:lineRule="auto"/>
      </w:pPr>
      <w:r w:rsidRPr="00426F74">
        <w:t>Provincia – Západné Karpaty,</w:t>
      </w:r>
    </w:p>
    <w:p w14:paraId="66785061" w14:textId="77777777" w:rsidR="000452BD" w:rsidRPr="00426F74" w:rsidRDefault="000452BD" w:rsidP="000452BD">
      <w:pPr>
        <w:pStyle w:val="Odsekzoznamu"/>
        <w:numPr>
          <w:ilvl w:val="0"/>
          <w:numId w:val="31"/>
        </w:numPr>
        <w:spacing w:before="40" w:after="40" w:line="276" w:lineRule="auto"/>
      </w:pPr>
      <w:r w:rsidRPr="00426F74">
        <w:t>Subprovincia – Vnútorné Západné Karpaty,</w:t>
      </w:r>
    </w:p>
    <w:p w14:paraId="30B08B5B" w14:textId="77777777" w:rsidR="000452BD" w:rsidRPr="00426F74" w:rsidRDefault="000452BD" w:rsidP="000452BD">
      <w:pPr>
        <w:pStyle w:val="Odsekzoznamu"/>
        <w:numPr>
          <w:ilvl w:val="0"/>
          <w:numId w:val="31"/>
        </w:numPr>
        <w:spacing w:before="40" w:after="40" w:line="276" w:lineRule="auto"/>
      </w:pPr>
      <w:r w:rsidRPr="00426F74">
        <w:t>Oblasť – Slovenské stredohorie,</w:t>
      </w:r>
    </w:p>
    <w:p w14:paraId="7FDEEE08" w14:textId="77777777" w:rsidR="000452BD" w:rsidRPr="00426F74" w:rsidRDefault="000452BD" w:rsidP="000452BD">
      <w:pPr>
        <w:pStyle w:val="Odsekzoznamu"/>
        <w:numPr>
          <w:ilvl w:val="0"/>
          <w:numId w:val="31"/>
        </w:numPr>
        <w:spacing w:before="40" w:after="40" w:line="276" w:lineRule="auto"/>
      </w:pPr>
      <w:r w:rsidRPr="00426F74">
        <w:t>Celok – Vtáčnik,</w:t>
      </w:r>
    </w:p>
    <w:p w14:paraId="265EB027" w14:textId="77777777" w:rsidR="000452BD" w:rsidRPr="00426F74" w:rsidRDefault="000452BD" w:rsidP="000452BD">
      <w:pPr>
        <w:pStyle w:val="Odsekzoznamu"/>
        <w:numPr>
          <w:ilvl w:val="0"/>
          <w:numId w:val="31"/>
        </w:numPr>
        <w:spacing w:before="40" w:after="40" w:line="276" w:lineRule="auto"/>
      </w:pPr>
      <w:r w:rsidRPr="00426F74">
        <w:t xml:space="preserve">Podcelok – </w:t>
      </w:r>
      <w:proofErr w:type="spellStart"/>
      <w:r w:rsidRPr="00426F74">
        <w:t>Župkovská</w:t>
      </w:r>
      <w:proofErr w:type="spellEnd"/>
      <w:r w:rsidRPr="00426F74">
        <w:t xml:space="preserve"> brázda.</w:t>
      </w:r>
    </w:p>
    <w:p w14:paraId="19989CC4" w14:textId="77777777" w:rsidR="000452BD" w:rsidRPr="00426F74" w:rsidRDefault="000452BD" w:rsidP="000452BD"/>
    <w:p w14:paraId="60844619" w14:textId="77777777" w:rsidR="000452BD" w:rsidRPr="00426F74" w:rsidRDefault="000452BD" w:rsidP="000452BD">
      <w:r w:rsidRPr="00426F74">
        <w:t xml:space="preserve">Geologickú stavbu širšieho okolia posudzovaného územia tvoria prevažne neogénne </w:t>
      </w:r>
      <w:proofErr w:type="spellStart"/>
      <w:r w:rsidRPr="00426F74">
        <w:t>vulkanity</w:t>
      </w:r>
      <w:proofErr w:type="spellEnd"/>
      <w:r w:rsidRPr="00426F74">
        <w:t xml:space="preserve"> zastúpené </w:t>
      </w:r>
      <w:proofErr w:type="spellStart"/>
      <w:r w:rsidRPr="00426F74">
        <w:t>pyroxenickými</w:t>
      </w:r>
      <w:proofErr w:type="spellEnd"/>
      <w:r w:rsidRPr="00426F74">
        <w:t>, amfibolicko-</w:t>
      </w:r>
      <w:proofErr w:type="spellStart"/>
      <w:r w:rsidRPr="00426F74">
        <w:t>pyroxenickými</w:t>
      </w:r>
      <w:proofErr w:type="spellEnd"/>
      <w:r w:rsidRPr="00426F74">
        <w:t xml:space="preserve"> andezitmi (mladšie </w:t>
      </w:r>
      <w:proofErr w:type="spellStart"/>
      <w:r w:rsidRPr="00426F74">
        <w:t>starovulkány</w:t>
      </w:r>
      <w:proofErr w:type="spellEnd"/>
      <w:r w:rsidRPr="00426F74">
        <w:t xml:space="preserve"> stredného a východného Slovenska), </w:t>
      </w:r>
      <w:proofErr w:type="spellStart"/>
      <w:r w:rsidRPr="00426F74">
        <w:t>pyroxenicko</w:t>
      </w:r>
      <w:proofErr w:type="spellEnd"/>
      <w:r w:rsidRPr="00426F74">
        <w:t xml:space="preserve">-amfibolickými a bioticko-amfibolickými andezitmi. V blízkosti posudzovaného územia preteká rieka Hron, preto z hľadiska geologickej charakteristiky posudzovaného územia, vrátane jeho užšieho okolia ide o najmladšie a plošne najrozšírenejšie fluviálne sedimenty, vystupujúce v podobe dolinných nív (nivných terás) riek a potokov. Postglaciálne náplavy nivných sedimentov tvoria podstatnú časť jemnozrnného sedimentačného povrchového krytu piesčito-štrkového súvrstvia dnovej akumulácie riek, alebo len samostatnú výplň dien dolín v celom priečnom profile u všetkých potokov. V suchých </w:t>
      </w:r>
      <w:proofErr w:type="spellStart"/>
      <w:r w:rsidRPr="00426F74">
        <w:t>úvalinovitých</w:t>
      </w:r>
      <w:proofErr w:type="spellEnd"/>
      <w:r w:rsidRPr="00426F74">
        <w:t xml:space="preserve"> dolinách prechádzajú často kontinuálne do </w:t>
      </w:r>
      <w:proofErr w:type="spellStart"/>
      <w:r w:rsidRPr="00426F74">
        <w:t>deluviálnofluviálnych</w:t>
      </w:r>
      <w:proofErr w:type="spellEnd"/>
      <w:r w:rsidRPr="00426F74">
        <w:t xml:space="preserve"> </w:t>
      </w:r>
      <w:proofErr w:type="spellStart"/>
      <w:r w:rsidRPr="00426F74">
        <w:t>splachov</w:t>
      </w:r>
      <w:proofErr w:type="spellEnd"/>
      <w:r w:rsidRPr="00426F74">
        <w:t xml:space="preserve">. Nivné sedimenty väčších riek tvoria </w:t>
      </w:r>
      <w:proofErr w:type="spellStart"/>
      <w:r w:rsidRPr="00426F74">
        <w:t>litofaciálne</w:t>
      </w:r>
      <w:proofErr w:type="spellEnd"/>
      <w:r w:rsidRPr="00426F74">
        <w:t xml:space="preserve"> najpestrejšie laterálne i horizontálne sa meniace súvrstvie, čo sa prejavuje rýchlo sa meniacim </w:t>
      </w:r>
      <w:proofErr w:type="spellStart"/>
      <w:r w:rsidRPr="00426F74">
        <w:t>mikroreliéfom</w:t>
      </w:r>
      <w:proofErr w:type="spellEnd"/>
      <w:r w:rsidRPr="00426F74">
        <w:t xml:space="preserve"> nív a komplikovanou stavbou i </w:t>
      </w:r>
      <w:proofErr w:type="spellStart"/>
      <w:r w:rsidRPr="00426F74">
        <w:t>litofaciálnym</w:t>
      </w:r>
      <w:proofErr w:type="spellEnd"/>
      <w:r w:rsidRPr="00426F74">
        <w:t xml:space="preserve"> zložením sedimentov. Na báze je súvrstvie tvorené zväčša sivými ílovitými hlinami (lokálne nahradenými sivozeleným ílovitým glejovým horizontom), ílovitými pieskami a smerom k aktívnemu toku aj </w:t>
      </w:r>
      <w:proofErr w:type="spellStart"/>
      <w:r w:rsidRPr="00426F74">
        <w:t>resedimentovanými</w:t>
      </w:r>
      <w:proofErr w:type="spellEnd"/>
      <w:r w:rsidRPr="00426F74">
        <w:t xml:space="preserve"> štrkmi a pieskami vrchných polôh dnovej akumulácie. V hornej časti hlín sa občas môžu vyskytovať nesúdržné drobné konkrécie CaCO</w:t>
      </w:r>
      <w:r w:rsidRPr="00426F74">
        <w:rPr>
          <w:vertAlign w:val="subscript"/>
        </w:rPr>
        <w:t>3</w:t>
      </w:r>
      <w:r w:rsidRPr="00426F74">
        <w:t xml:space="preserve">, prípadne nesúvislé tenké vápnité polohy. Na ílovitých hlinách a ostatných sedimentoch je v mnohých nivách sformovaný tmavosivý až čierny humózny, horizont pochovanej nivnej pôdy. V nadloží tejto pôdy sú rozšírené </w:t>
      </w:r>
      <w:proofErr w:type="spellStart"/>
      <w:r w:rsidRPr="00426F74">
        <w:t>litologicky</w:t>
      </w:r>
      <w:proofErr w:type="spellEnd"/>
      <w:r w:rsidRPr="00426F74">
        <w:t xml:space="preserve"> pestrejšie hlinité, prachovité a ílovité humózne sedimenty nivnej plochy, ktoré sa vyznačujú najväčším plošným rozšírením a dominujú už aj v povrchovej </w:t>
      </w:r>
      <w:r w:rsidRPr="00426F74">
        <w:lastRenderedPageBreak/>
        <w:t xml:space="preserve">stavbe nív menších tokov, kde však pribúda </w:t>
      </w:r>
      <w:proofErr w:type="spellStart"/>
      <w:r w:rsidRPr="00426F74">
        <w:t>jemnopiesčitá</w:t>
      </w:r>
      <w:proofErr w:type="spellEnd"/>
      <w:r w:rsidRPr="00426F74">
        <w:t xml:space="preserve"> zložka. Typickým znakom pre nivné sedimenty väčších tokov je výskyt karbonátov, ktoré sa nachádzajú hlavne vo forme </w:t>
      </w:r>
      <w:proofErr w:type="spellStart"/>
      <w:r w:rsidRPr="00426F74">
        <w:t>mikrokonkrécií</w:t>
      </w:r>
      <w:proofErr w:type="spellEnd"/>
      <w:r w:rsidRPr="00426F74">
        <w:t xml:space="preserve">, </w:t>
      </w:r>
      <w:proofErr w:type="spellStart"/>
      <w:r w:rsidRPr="00426F74">
        <w:t>nodúl</w:t>
      </w:r>
      <w:proofErr w:type="spellEnd"/>
      <w:r w:rsidRPr="00426F74">
        <w:t xml:space="preserve"> a úlomkov. Sfarbenie sedimentov vrchného horizontu je najčastejšie sivé, tmavosivé a hnedosivé. U menších tokov sú sedimenty tvorené vrstvenými, ílovitými sivohnedými nevápnitými nivnými hlinami alebo piesčitými hlinami i pieskami v spodnej časti s obsahom </w:t>
      </w:r>
      <w:proofErr w:type="spellStart"/>
      <w:r w:rsidRPr="00426F74">
        <w:t>valúnov</w:t>
      </w:r>
      <w:proofErr w:type="spellEnd"/>
      <w:r w:rsidRPr="00426F74">
        <w:t>, alebo úlomkov hornín. Celková hrúbka nivných sedimentov vodných tokov sa pohybuje od 1,5 – 3 m, maximálne 4,5 m.</w:t>
      </w:r>
    </w:p>
    <w:p w14:paraId="4D820772" w14:textId="28779D6E" w:rsidR="000452BD" w:rsidRPr="00426F74" w:rsidRDefault="000452BD" w:rsidP="000452BD">
      <w:r w:rsidRPr="00426F74">
        <w:t xml:space="preserve">Inžiniersko-geologická rajonizácia územia mesta patrí do rajónu kvartérnych sedimentov a prevažne zodpovedá rajónu údolných riečnych náplavov. Širšie okolie posudzovaného územia patrí aj (severovýchodné a východné časti) do rajónov </w:t>
      </w:r>
      <w:proofErr w:type="spellStart"/>
      <w:r w:rsidRPr="00426F74">
        <w:t>predkvartérnych</w:t>
      </w:r>
      <w:proofErr w:type="spellEnd"/>
      <w:r w:rsidRPr="00426F74">
        <w:t xml:space="preserve"> sedimentov a to do rajónu vulkanických hornín, </w:t>
      </w:r>
      <w:proofErr w:type="spellStart"/>
      <w:r w:rsidRPr="00426F74">
        <w:t>vulkanoklasických</w:t>
      </w:r>
      <w:proofErr w:type="spellEnd"/>
      <w:r w:rsidRPr="00426F74">
        <w:t xml:space="preserve"> hornín, </w:t>
      </w:r>
      <w:proofErr w:type="spellStart"/>
      <w:r w:rsidRPr="00426F74">
        <w:t>efuzívnych</w:t>
      </w:r>
      <w:proofErr w:type="spellEnd"/>
      <w:r w:rsidRPr="00426F74">
        <w:t xml:space="preserve"> hornín a rajónu </w:t>
      </w:r>
      <w:proofErr w:type="spellStart"/>
      <w:r w:rsidRPr="00426F74">
        <w:t>deluviálnych</w:t>
      </w:r>
      <w:proofErr w:type="spellEnd"/>
      <w:r w:rsidRPr="00426F74">
        <w:t xml:space="preserve"> sedimentov.</w:t>
      </w:r>
    </w:p>
    <w:p w14:paraId="576AB3C6" w14:textId="77777777" w:rsidR="00E02A01" w:rsidRDefault="00E02A01" w:rsidP="009B3D82"/>
    <w:p w14:paraId="0744B026" w14:textId="7619C4E2" w:rsidR="000452BD" w:rsidRPr="000452BD" w:rsidRDefault="000452BD" w:rsidP="009B3D82">
      <w:pPr>
        <w:rPr>
          <w:b/>
          <w:bCs/>
          <w:i/>
          <w:iCs/>
        </w:rPr>
      </w:pPr>
      <w:proofErr w:type="spellStart"/>
      <w:r w:rsidRPr="000452BD">
        <w:rPr>
          <w:b/>
          <w:bCs/>
          <w:i/>
          <w:iCs/>
        </w:rPr>
        <w:t>Geodynamické</w:t>
      </w:r>
      <w:proofErr w:type="spellEnd"/>
      <w:r w:rsidRPr="000452BD">
        <w:rPr>
          <w:b/>
          <w:bCs/>
          <w:i/>
          <w:iCs/>
        </w:rPr>
        <w:t xml:space="preserve"> javy a </w:t>
      </w:r>
      <w:proofErr w:type="spellStart"/>
      <w:r w:rsidRPr="000452BD">
        <w:rPr>
          <w:b/>
          <w:bCs/>
          <w:i/>
          <w:iCs/>
        </w:rPr>
        <w:t>seizmicita</w:t>
      </w:r>
      <w:proofErr w:type="spellEnd"/>
      <w:r w:rsidRPr="000452BD">
        <w:rPr>
          <w:b/>
          <w:bCs/>
          <w:i/>
          <w:iCs/>
        </w:rPr>
        <w:t xml:space="preserve"> územia</w:t>
      </w:r>
    </w:p>
    <w:p w14:paraId="69530AEA" w14:textId="77777777" w:rsidR="000452BD" w:rsidRPr="00426F74" w:rsidRDefault="000452BD" w:rsidP="000452BD">
      <w:r w:rsidRPr="00426F74">
        <w:t xml:space="preserve">Posudzované územie patrí z hľadiska </w:t>
      </w:r>
      <w:proofErr w:type="spellStart"/>
      <w:r w:rsidRPr="00426F74">
        <w:t>geodynamických</w:t>
      </w:r>
      <w:proofErr w:type="spellEnd"/>
      <w:r w:rsidRPr="00426F74">
        <w:t xml:space="preserve"> javov a </w:t>
      </w:r>
      <w:proofErr w:type="spellStart"/>
      <w:r w:rsidRPr="00426F74">
        <w:t>seizmicity</w:t>
      </w:r>
      <w:proofErr w:type="spellEnd"/>
      <w:r w:rsidRPr="00426F74">
        <w:t xml:space="preserve"> medzi stabilné územia bez viditeľných prejavov svahových pohybov. V užšom a širšom okolí posudzovaného územia je možné identifikovať výskyt viacerých </w:t>
      </w:r>
      <w:proofErr w:type="spellStart"/>
      <w:r w:rsidRPr="00426F74">
        <w:t>geodynamických</w:t>
      </w:r>
      <w:proofErr w:type="spellEnd"/>
      <w:r w:rsidRPr="00426F74">
        <w:t xml:space="preserve"> javov rôzneho rozsahu. Ide napríklad o </w:t>
      </w:r>
      <w:proofErr w:type="spellStart"/>
      <w:r w:rsidRPr="00426F74">
        <w:t>seizmicitu</w:t>
      </w:r>
      <w:proofErr w:type="spellEnd"/>
      <w:r w:rsidRPr="00426F74">
        <w:t xml:space="preserve"> územia a súvisiace tektonické pohyby, ale aj o erózne procesy. Ku </w:t>
      </w:r>
      <w:proofErr w:type="spellStart"/>
      <w:r w:rsidRPr="00426F74">
        <w:t>geodynamickým</w:t>
      </w:r>
      <w:proofErr w:type="spellEnd"/>
      <w:r w:rsidRPr="00426F74">
        <w:t xml:space="preserve"> javom patria erózne i akumulačné procesy. V riečnych nivách sa prejavujú fluviálne a eolické erózne procesy. Vodná erózia sa v širšom okolí posudzovaného územia môže prejaviť napríklad vo forme podomieľania a abrázie brehov pretekajúcich tokov. </w:t>
      </w:r>
      <w:proofErr w:type="spellStart"/>
      <w:r w:rsidRPr="00426F74">
        <w:t>Seizmicita</w:t>
      </w:r>
      <w:proofErr w:type="spellEnd"/>
      <w:r w:rsidRPr="00426F74">
        <w:t xml:space="preserve"> územia patrí do rajónu s predpokladanou seizmickou intenzitou dosahujúcou úroveň maximálne 7° MSK-64 98.</w:t>
      </w:r>
    </w:p>
    <w:p w14:paraId="55A30065" w14:textId="0E50B894" w:rsidR="000452BD" w:rsidRDefault="000452BD" w:rsidP="009B3D82"/>
    <w:p w14:paraId="49C5CCF2" w14:textId="165A2891" w:rsidR="000452BD" w:rsidRDefault="000452BD" w:rsidP="009B3D82">
      <w:pPr>
        <w:rPr>
          <w:b/>
          <w:bCs/>
          <w:i/>
          <w:iCs/>
        </w:rPr>
      </w:pPr>
      <w:r w:rsidRPr="000452BD">
        <w:rPr>
          <w:b/>
          <w:bCs/>
          <w:i/>
          <w:iCs/>
        </w:rPr>
        <w:t>Pôdne pomery</w:t>
      </w:r>
    </w:p>
    <w:p w14:paraId="068ABB3C" w14:textId="77777777" w:rsidR="000452BD" w:rsidRPr="00426F74" w:rsidRDefault="000452BD" w:rsidP="000452BD">
      <w:r w:rsidRPr="00426F74">
        <w:t xml:space="preserve">Charakter pôdnych pomerov lokality je určovaný napr. vývojom klimatických podmienok, dlhodobými zmenami hladín podzemných vôd, zrážkami, </w:t>
      </w:r>
      <w:proofErr w:type="spellStart"/>
      <w:r w:rsidRPr="00426F74">
        <w:t>zrnitostným</w:t>
      </w:r>
      <w:proofErr w:type="spellEnd"/>
      <w:r w:rsidRPr="00426F74">
        <w:t xml:space="preserve"> zložením pôdy a sedimentov v zóne </w:t>
      </w:r>
      <w:proofErr w:type="spellStart"/>
      <w:r w:rsidRPr="00426F74">
        <w:t>aerácie</w:t>
      </w:r>
      <w:proofErr w:type="spellEnd"/>
      <w:r w:rsidRPr="00426F74">
        <w:t xml:space="preserve">. Západnú časť širšieho okolia posudzovaného územia zastupuje pôdny typ </w:t>
      </w:r>
      <w:proofErr w:type="spellStart"/>
      <w:r w:rsidRPr="00426F74">
        <w:t>kambizeme</w:t>
      </w:r>
      <w:proofErr w:type="spellEnd"/>
      <w:r w:rsidRPr="00426F74">
        <w:t xml:space="preserve"> (pôdne jednotky – </w:t>
      </w:r>
      <w:proofErr w:type="spellStart"/>
      <w:r w:rsidRPr="00426F74">
        <w:t>kambizeme</w:t>
      </w:r>
      <w:proofErr w:type="spellEnd"/>
      <w:r w:rsidRPr="00426F74">
        <w:t xml:space="preserve"> modálne kyslé, sprievodné </w:t>
      </w:r>
      <w:proofErr w:type="spellStart"/>
      <w:r w:rsidRPr="00426F74">
        <w:t>kultizemné</w:t>
      </w:r>
      <w:proofErr w:type="spellEnd"/>
      <w:r w:rsidRPr="00426F74">
        <w:t xml:space="preserve"> a </w:t>
      </w:r>
      <w:proofErr w:type="spellStart"/>
      <w:r w:rsidRPr="00426F74">
        <w:t>rankre</w:t>
      </w:r>
      <w:proofErr w:type="spellEnd"/>
      <w:r w:rsidRPr="00426F74">
        <w:t xml:space="preserve"> zo zvetralín kyslých až neutrálnych hornín).</w:t>
      </w:r>
    </w:p>
    <w:p w14:paraId="133D9D51" w14:textId="77777777" w:rsidR="000452BD" w:rsidRPr="00426F74" w:rsidRDefault="000452BD" w:rsidP="000452BD">
      <w:r w:rsidRPr="00426F74">
        <w:t xml:space="preserve">Užšie okolie posudzovaného územia vrátane posudzovaného územia tvoria </w:t>
      </w:r>
      <w:proofErr w:type="spellStart"/>
      <w:r w:rsidRPr="00426F74">
        <w:t>fluvizeme</w:t>
      </w:r>
      <w:proofErr w:type="spellEnd"/>
      <w:r w:rsidRPr="00426F74">
        <w:t xml:space="preserve">, ktoré sú zastúpené aj v širšom okolí posudzovaného územia. Pôdne pomery posudzovaného územia ovplyvňuje hlavne rieka Hron. </w:t>
      </w:r>
    </w:p>
    <w:p w14:paraId="3DC8E436" w14:textId="77777777" w:rsidR="000452BD" w:rsidRPr="00426F74" w:rsidRDefault="000452BD" w:rsidP="000452BD">
      <w:proofErr w:type="spellStart"/>
      <w:r w:rsidRPr="00426F74">
        <w:rPr>
          <w:b/>
          <w:bCs/>
        </w:rPr>
        <w:t>Fluvizeme</w:t>
      </w:r>
      <w:proofErr w:type="spellEnd"/>
      <w:r w:rsidRPr="00426F74">
        <w:rPr>
          <w:b/>
          <w:bCs/>
        </w:rPr>
        <w:t xml:space="preserve"> </w:t>
      </w:r>
      <w:r w:rsidRPr="00426F74">
        <w:t xml:space="preserve">predstavujú mladé </w:t>
      </w:r>
      <w:proofErr w:type="spellStart"/>
      <w:r w:rsidRPr="00426F74">
        <w:t>dvojhorizontové</w:t>
      </w:r>
      <w:proofErr w:type="spellEnd"/>
      <w:r w:rsidRPr="00426F74">
        <w:t xml:space="preserve"> A/C pôdy nív riek, ktorých vývoj je neustále narušovaný záplavami čím sa ich profil neustále obohacuje o novú vrstvu pôdnych sedimentov. Dominantným </w:t>
      </w:r>
      <w:proofErr w:type="spellStart"/>
      <w:r w:rsidRPr="00426F74">
        <w:t>pôdotvorným</w:t>
      </w:r>
      <w:proofErr w:type="spellEnd"/>
      <w:r w:rsidRPr="00426F74">
        <w:t xml:space="preserve"> procesom je hromadenie humusu. Ich morfologické, fyzikálne a chemické vlastnosti bývajú často nevyrovnané. Povrchový humusový horizont je svetlý, s nízkym obsahom humusu, prevažne sorpčne nasýtený, zásobený živinami. Hlavným limitujúcim faktorom produkčnosti týchto pôd je </w:t>
      </w:r>
      <w:proofErr w:type="spellStart"/>
      <w:r w:rsidRPr="00426F74">
        <w:t>zrnitostné</w:t>
      </w:r>
      <w:proofErr w:type="spellEnd"/>
      <w:r w:rsidRPr="00426F74">
        <w:t xml:space="preserve"> zloženie, obsah skeletu a agrochemické vlastnosti (obsah karbonátov, obsah živín). Je to veľmi variabilný pôdny typ v závislosti od chemických a fyzických vlastností </w:t>
      </w:r>
      <w:proofErr w:type="spellStart"/>
      <w:r w:rsidRPr="00426F74">
        <w:t>pôdotvorných</w:t>
      </w:r>
      <w:proofErr w:type="spellEnd"/>
      <w:r w:rsidRPr="00426F74">
        <w:t xml:space="preserve"> substrátov – aluviálnych uloženín. Charakteristické je aj kolísanie obsahu humusu, textúry substrátov a celého pôdneho profilu.</w:t>
      </w:r>
    </w:p>
    <w:p w14:paraId="5EE7BB27" w14:textId="77777777" w:rsidR="000452BD" w:rsidRPr="00426F74" w:rsidRDefault="000452BD" w:rsidP="000452BD">
      <w:proofErr w:type="spellStart"/>
      <w:r w:rsidRPr="00426F74">
        <w:rPr>
          <w:b/>
          <w:bCs/>
        </w:rPr>
        <w:t>Kambizeme</w:t>
      </w:r>
      <w:proofErr w:type="spellEnd"/>
      <w:r w:rsidRPr="00426F74">
        <w:rPr>
          <w:b/>
          <w:bCs/>
        </w:rPr>
        <w:t xml:space="preserve"> </w:t>
      </w:r>
      <w:r w:rsidRPr="00426F74">
        <w:t xml:space="preserve">sú </w:t>
      </w:r>
      <w:proofErr w:type="spellStart"/>
      <w:r w:rsidRPr="00426F74">
        <w:t>trojhorizontové</w:t>
      </w:r>
      <w:proofErr w:type="spellEnd"/>
      <w:r w:rsidRPr="00426F74">
        <w:t xml:space="preserve"> A-B-C pôdy, vyvinuté zo zvetralín vyvretých, metamorfovaných a vulkanických hornín, prevažne </w:t>
      </w:r>
      <w:proofErr w:type="spellStart"/>
      <w:r w:rsidRPr="00426F74">
        <w:t>nekarbonátových</w:t>
      </w:r>
      <w:proofErr w:type="spellEnd"/>
      <w:r w:rsidRPr="00426F74">
        <w:t xml:space="preserve"> sedimentov </w:t>
      </w:r>
      <w:proofErr w:type="spellStart"/>
      <w:r w:rsidRPr="00426F74">
        <w:t>paleogénu</w:t>
      </w:r>
      <w:proofErr w:type="spellEnd"/>
      <w:r w:rsidRPr="00426F74">
        <w:t xml:space="preserve"> a neogénu, lokálne tiež z nespevnených sedimentov, napr. z viatych pieskov. Ich humusový A-horizont je v nižších polohách plytký a svetlý, s malým obsahom humusu a často aj na zvetralinách granitov sorpčne nasýtený. Ide o tzv. </w:t>
      </w:r>
      <w:proofErr w:type="spellStart"/>
      <w:r w:rsidRPr="00426F74">
        <w:t>ochrický</w:t>
      </w:r>
      <w:proofErr w:type="spellEnd"/>
      <w:r w:rsidRPr="00426F74">
        <w:t xml:space="preserve"> </w:t>
      </w:r>
      <w:proofErr w:type="spellStart"/>
      <w:r w:rsidRPr="00426F74">
        <w:t>Ao</w:t>
      </w:r>
      <w:proofErr w:type="spellEnd"/>
      <w:r w:rsidRPr="00426F74">
        <w:t xml:space="preserve">-horizont. Vo vyšších, </w:t>
      </w:r>
      <w:r w:rsidRPr="00426F74">
        <w:lastRenderedPageBreak/>
        <w:t xml:space="preserve">klimaticky extrémnejších nadmorských výškach v ňom narastá obsah surového kyslého humusu a narastá tiež jeho hrúbka, čím sa mení na tzv. </w:t>
      </w:r>
      <w:proofErr w:type="spellStart"/>
      <w:r w:rsidRPr="00426F74">
        <w:t>umbrický</w:t>
      </w:r>
      <w:proofErr w:type="spellEnd"/>
      <w:r w:rsidRPr="00426F74">
        <w:t xml:space="preserve"> (tmavý, hrubý, sorpčne nenasýtený) Au-horizont. Dominantným diagnostickým horizontom </w:t>
      </w:r>
      <w:proofErr w:type="spellStart"/>
      <w:r w:rsidRPr="00426F74">
        <w:t>kambizemí</w:t>
      </w:r>
      <w:proofErr w:type="spellEnd"/>
      <w:r w:rsidRPr="00426F74">
        <w:t xml:space="preserve"> je </w:t>
      </w:r>
      <w:proofErr w:type="spellStart"/>
      <w:r w:rsidRPr="00426F74">
        <w:t>kambický</w:t>
      </w:r>
      <w:proofErr w:type="spellEnd"/>
      <w:r w:rsidRPr="00426F74">
        <w:t xml:space="preserve"> </w:t>
      </w:r>
      <w:proofErr w:type="spellStart"/>
      <w:r w:rsidRPr="00426F74">
        <w:t>Bv</w:t>
      </w:r>
      <w:proofErr w:type="spellEnd"/>
      <w:r w:rsidRPr="00426F74">
        <w:t xml:space="preserve">-horizont. Je to </w:t>
      </w:r>
      <w:proofErr w:type="spellStart"/>
      <w:r w:rsidRPr="00426F74">
        <w:t>metamorfický</w:t>
      </w:r>
      <w:proofErr w:type="spellEnd"/>
      <w:r w:rsidRPr="00426F74">
        <w:t xml:space="preserve"> podpovrchový horizont, ktorý vznikol procesom hnednutia (</w:t>
      </w:r>
      <w:proofErr w:type="spellStart"/>
      <w:r w:rsidRPr="00426F74">
        <w:t>brunifikácie</w:t>
      </w:r>
      <w:proofErr w:type="spellEnd"/>
      <w:r w:rsidRPr="00426F74">
        <w:t xml:space="preserve">), </w:t>
      </w:r>
      <w:proofErr w:type="spellStart"/>
      <w:r w:rsidRPr="00426F74">
        <w:t>t.j</w:t>
      </w:r>
      <w:proofErr w:type="spellEnd"/>
      <w:r w:rsidRPr="00426F74">
        <w:t xml:space="preserve">. </w:t>
      </w:r>
      <w:proofErr w:type="spellStart"/>
      <w:r w:rsidRPr="00426F74">
        <w:t>oxidického</w:t>
      </w:r>
      <w:proofErr w:type="spellEnd"/>
      <w:r w:rsidRPr="00426F74">
        <w:t xml:space="preserve"> zvetrávania s fyzikálnou a chemickou premenou prvotných minerálov a tvorbou ílových minerálov bez ich výraznejšej </w:t>
      </w:r>
      <w:proofErr w:type="spellStart"/>
      <w:r w:rsidRPr="00426F74">
        <w:t>translokácie</w:t>
      </w:r>
      <w:proofErr w:type="spellEnd"/>
      <w:r w:rsidRPr="00426F74">
        <w:t xml:space="preserve">. Tento proces dáva horizontu charakteristickú hnedú farbu. Za </w:t>
      </w:r>
      <w:proofErr w:type="spellStart"/>
      <w:r w:rsidRPr="00426F74">
        <w:t>kambický</w:t>
      </w:r>
      <w:proofErr w:type="spellEnd"/>
      <w:r w:rsidRPr="00426F74">
        <w:t xml:space="preserve"> horizont sa považujú aj iné </w:t>
      </w:r>
      <w:proofErr w:type="spellStart"/>
      <w:r w:rsidRPr="00426F74">
        <w:t>alterácie</w:t>
      </w:r>
      <w:proofErr w:type="spellEnd"/>
      <w:r w:rsidRPr="00426F74">
        <w:t xml:space="preserve"> pod A-horizontom napr. zmena farby a štruktúry v dôsledku odvápnenia časti </w:t>
      </w:r>
      <w:proofErr w:type="spellStart"/>
      <w:r w:rsidRPr="00426F74">
        <w:t>pedonu</w:t>
      </w:r>
      <w:proofErr w:type="spellEnd"/>
      <w:r w:rsidRPr="00426F74">
        <w:t xml:space="preserve">. Typickým morfologickým znakom </w:t>
      </w:r>
      <w:proofErr w:type="spellStart"/>
      <w:r w:rsidRPr="00426F74">
        <w:t>kambizemí</w:t>
      </w:r>
      <w:proofErr w:type="spellEnd"/>
      <w:r w:rsidRPr="00426F74">
        <w:t xml:space="preserve"> sú difúzne prechodné horizonty A/B a B/C. Táto vlastnosť si vyžaduje zvýšenú pozornosť najmä pri identifikácii </w:t>
      </w:r>
      <w:proofErr w:type="spellStart"/>
      <w:r w:rsidRPr="00426F74">
        <w:t>kambizemí</w:t>
      </w:r>
      <w:proofErr w:type="spellEnd"/>
      <w:r w:rsidRPr="00426F74">
        <w:t xml:space="preserve"> nižších polôh, ktoré sú celkovo svetlé s málo kontrastným zafarbením. Kontrastnosť a výraznosť farieb horizontov </w:t>
      </w:r>
      <w:proofErr w:type="spellStart"/>
      <w:r w:rsidRPr="00426F74">
        <w:t>kambizeme</w:t>
      </w:r>
      <w:proofErr w:type="spellEnd"/>
      <w:r w:rsidRPr="00426F74">
        <w:t xml:space="preserve"> rastie s nadmorskou výškou v dôsledku slabšej mineralizácie a intenzívnejšieho zvetrávania v podmienkach drsnejšej klímy.</w:t>
      </w:r>
    </w:p>
    <w:p w14:paraId="31DC1AD0" w14:textId="77777777" w:rsidR="009D777B" w:rsidRPr="00426F74" w:rsidRDefault="009D777B" w:rsidP="009D777B">
      <w:r w:rsidRPr="00426F74">
        <w:t xml:space="preserve">Kvalita pôdy patrí medzi najvýznamnejšie faktory využívania a rozvoja územia. Medzi hlavné negatívne faktory, ktoré ovplyvňujú environmentálnu funkciu pôd patria najmä zhutňovanie, </w:t>
      </w:r>
      <w:proofErr w:type="spellStart"/>
      <w:r w:rsidRPr="00426F74">
        <w:t>acidifikácia</w:t>
      </w:r>
      <w:proofErr w:type="spellEnd"/>
      <w:r w:rsidRPr="00426F74">
        <w:t xml:space="preserve">, neuvážené meliorácie a rekultivácie, nadmerná chemizácia, </w:t>
      </w:r>
      <w:proofErr w:type="spellStart"/>
      <w:r w:rsidRPr="00426F74">
        <w:t>emisno</w:t>
      </w:r>
      <w:proofErr w:type="spellEnd"/>
      <w:r w:rsidRPr="00426F74">
        <w:t xml:space="preserve"> – imisná kontaminácia a zvyšujúca sa erózia.</w:t>
      </w:r>
    </w:p>
    <w:p w14:paraId="63FD6DE2" w14:textId="77777777" w:rsidR="009D777B" w:rsidRPr="00426F74" w:rsidRDefault="009D777B" w:rsidP="009D777B">
      <w:r w:rsidRPr="00426F74">
        <w:t>Na plošnej kontaminácii pôd sa najväčšou mierou podieľajú najmä nasledujúce činitele:</w:t>
      </w:r>
    </w:p>
    <w:p w14:paraId="0C6D6C85" w14:textId="77777777" w:rsidR="009D777B" w:rsidRPr="00426F74" w:rsidRDefault="009D777B" w:rsidP="009D777B">
      <w:pPr>
        <w:numPr>
          <w:ilvl w:val="0"/>
          <w:numId w:val="33"/>
        </w:numPr>
        <w:spacing w:line="276" w:lineRule="auto"/>
      </w:pPr>
      <w:r w:rsidRPr="00426F74">
        <w:t>výskyt prirodzenej kontaminácie pôd rizikovými prvkami z geochemických anomálií,</w:t>
      </w:r>
    </w:p>
    <w:p w14:paraId="5CE8CFA1" w14:textId="77777777" w:rsidR="009D777B" w:rsidRPr="00426F74" w:rsidRDefault="009D777B" w:rsidP="009D777B">
      <w:pPr>
        <w:numPr>
          <w:ilvl w:val="0"/>
          <w:numId w:val="33"/>
        </w:numPr>
        <w:spacing w:line="276" w:lineRule="auto"/>
      </w:pPr>
      <w:r w:rsidRPr="00426F74">
        <w:t>vplyv globálnych emisií pochádzajúci prevažne zo zahraničných zdrojov a prejavuje sa zvýšeným obsahom Cd, Pb, Cr, As,</w:t>
      </w:r>
    </w:p>
    <w:p w14:paraId="6A723EDC" w14:textId="77777777" w:rsidR="009D777B" w:rsidRPr="00426F74" w:rsidRDefault="009D777B" w:rsidP="009D777B">
      <w:pPr>
        <w:numPr>
          <w:ilvl w:val="0"/>
          <w:numId w:val="33"/>
        </w:numPr>
        <w:spacing w:line="276" w:lineRule="auto"/>
      </w:pPr>
      <w:r w:rsidRPr="00426F74">
        <w:t>vplyv vnútroštátnych zdrojov s lokálnym až regionálnym dosahom z rôznych druhov priemyslu,</w:t>
      </w:r>
    </w:p>
    <w:p w14:paraId="3BE262ED" w14:textId="77777777" w:rsidR="009D777B" w:rsidRPr="00426F74" w:rsidRDefault="009D777B" w:rsidP="009D777B">
      <w:pPr>
        <w:numPr>
          <w:ilvl w:val="0"/>
          <w:numId w:val="33"/>
        </w:numPr>
        <w:spacing w:line="276" w:lineRule="auto"/>
      </w:pPr>
      <w:r w:rsidRPr="00426F74">
        <w:t>vplyv poľnohospodárstva (najmä obsah Cd z fosforečných hnojív, ako aj priemyselné komposty a kaly z ČOV),</w:t>
      </w:r>
    </w:p>
    <w:p w14:paraId="76F9F23D" w14:textId="77777777" w:rsidR="009D777B" w:rsidRPr="00426F74" w:rsidRDefault="009D777B" w:rsidP="009D777B">
      <w:pPr>
        <w:numPr>
          <w:ilvl w:val="0"/>
          <w:numId w:val="33"/>
        </w:numPr>
        <w:spacing w:line="276" w:lineRule="auto"/>
      </w:pPr>
      <w:r w:rsidRPr="00426F74">
        <w:t>vplyv emisií z dopravných prostriedkov.</w:t>
      </w:r>
    </w:p>
    <w:p w14:paraId="6DCF0DB0" w14:textId="77777777" w:rsidR="009D777B" w:rsidRPr="00426F74" w:rsidRDefault="009D777B" w:rsidP="009D777B">
      <w:pPr>
        <w:ind w:firstLine="709"/>
      </w:pPr>
      <w:r w:rsidRPr="00426F74">
        <w:t>Znečistenie pôd v katastrálnom území Žarnovice zodpovedá miernej kontaminácii. Tá môže</w:t>
      </w:r>
      <w:r>
        <w:t xml:space="preserve"> </w:t>
      </w:r>
      <w:r w:rsidRPr="00426F74">
        <w:t>byť spôsobená poľnohospodárky obhospodarovaním pôdy a aj intenzitou dopravy a</w:t>
      </w:r>
      <w:r>
        <w:t> </w:t>
      </w:r>
      <w:r w:rsidRPr="00426F74">
        <w:t>emisi</w:t>
      </w:r>
      <w:r>
        <w:t xml:space="preserve">í </w:t>
      </w:r>
      <w:r w:rsidRPr="00426F74">
        <w:t>z nej. V širšom okolí posudzovaného územia sú zaznamenané len bodové kontaminácie</w:t>
      </w:r>
      <w:r>
        <w:t xml:space="preserve"> </w:t>
      </w:r>
      <w:r w:rsidRPr="00426F74">
        <w:t>prvkami Pb, Cu a Zn.</w:t>
      </w:r>
    </w:p>
    <w:p w14:paraId="1BD2F196" w14:textId="41C63622" w:rsidR="000452BD" w:rsidRDefault="000452BD" w:rsidP="009B3D82">
      <w:pPr>
        <w:rPr>
          <w:b/>
          <w:bCs/>
          <w:i/>
          <w:iCs/>
        </w:rPr>
      </w:pPr>
    </w:p>
    <w:p w14:paraId="6C17A0BF" w14:textId="760ACE71" w:rsidR="000452BD" w:rsidRDefault="000452BD" w:rsidP="009B3D82">
      <w:pPr>
        <w:rPr>
          <w:b/>
          <w:bCs/>
          <w:i/>
          <w:iCs/>
        </w:rPr>
      </w:pPr>
      <w:r>
        <w:rPr>
          <w:b/>
          <w:bCs/>
          <w:i/>
          <w:iCs/>
        </w:rPr>
        <w:t>Klimatické pomery</w:t>
      </w:r>
    </w:p>
    <w:p w14:paraId="413E7D92" w14:textId="77777777" w:rsidR="000452BD" w:rsidRPr="00426F74" w:rsidRDefault="000452BD" w:rsidP="000452BD">
      <w:r w:rsidRPr="00426F74">
        <w:t>Podľa klimatologickej klasifikácie patrí širšie okolie posudzovaného územia do mierne teplej, vlhkej oblasti (dolinový/kotlinový okrsok) s chladnou až studenou zimou s počtom letných dní do 50 a do mierne teplej, mierne vlhkej oblasti (</w:t>
      </w:r>
      <w:proofErr w:type="spellStart"/>
      <w:r w:rsidRPr="00426F74">
        <w:t>pahorkatinový</w:t>
      </w:r>
      <w:proofErr w:type="spellEnd"/>
      <w:r w:rsidRPr="00426F74">
        <w:t xml:space="preserve"> až </w:t>
      </w:r>
      <w:proofErr w:type="spellStart"/>
      <w:r w:rsidRPr="00426F74">
        <w:t>vrchovinový</w:t>
      </w:r>
      <w:proofErr w:type="spellEnd"/>
      <w:r w:rsidRPr="00426F74">
        <w:t xml:space="preserve"> okrsok). Žarnovica sa nachádza v oblasti doliny väčšej rieky (Hron), v ktorých sa priemerný počet dní s hmlou pohybuje v rozmedzí 60 – 80 dní. </w:t>
      </w:r>
    </w:p>
    <w:p w14:paraId="57C5CB37" w14:textId="1435F286" w:rsidR="000452BD" w:rsidRPr="00426F74" w:rsidRDefault="000452BD" w:rsidP="000452BD">
      <w:r w:rsidRPr="00426F74">
        <w:t xml:space="preserve">Zrážky v okolí mesta </w:t>
      </w:r>
      <w:r>
        <w:t>Nová Baňa</w:t>
      </w:r>
      <w:r w:rsidRPr="00426F74">
        <w:t xml:space="preserve"> ovplyvňuje okrem geografickej polohy aj členitosť reliéfu a veľkosť lesných plôch v okolí. Ročný úhrn zrážok sa pohybuje v priemere na úrovni cca. 370 mm. Snehová pokrývka dosahuje hrúbku 27 cm. Priemerné ročné trvanie snehovej pokrývky je 40 až 60 dní.</w:t>
      </w:r>
    </w:p>
    <w:p w14:paraId="154E6795" w14:textId="77777777" w:rsidR="000452BD" w:rsidRPr="00426F74" w:rsidRDefault="000452BD" w:rsidP="000452BD">
      <w:r w:rsidRPr="00426F74">
        <w:t xml:space="preserve">Dotknuté územie sa nachádza v oblasti s priemernou ročnou teplotou približne 10°C. Najteplejším mesiacom v roku je mesiac júl s priemernou teplotou pohybujúcou sa na úrovni 20 °C a najchladnejšími mesiacmi sú mesiace január a február s priemernou teplotou -3°C. Teplotu na dotknutom území ovplyvňuje hornaté prostredie. Obdobie bez trvalej snehovej pokrývky má priemerne dĺžku približne 150 dní. Priemerná ročná teplota aktívneho povrchu pôdy sa pohybuje od 10°C do 11°C. </w:t>
      </w:r>
    </w:p>
    <w:p w14:paraId="179EC6D4" w14:textId="0AF5DC64" w:rsidR="000452BD" w:rsidRDefault="000452BD" w:rsidP="009B3D82">
      <w:pPr>
        <w:rPr>
          <w:b/>
          <w:bCs/>
          <w:i/>
          <w:iCs/>
        </w:rPr>
      </w:pPr>
    </w:p>
    <w:p w14:paraId="1514A83F" w14:textId="7C51936A" w:rsidR="009D777B" w:rsidRDefault="009D777B" w:rsidP="009B3D82">
      <w:pPr>
        <w:rPr>
          <w:b/>
          <w:bCs/>
          <w:i/>
          <w:iCs/>
        </w:rPr>
      </w:pPr>
      <w:r>
        <w:rPr>
          <w:b/>
          <w:bCs/>
          <w:i/>
          <w:iCs/>
        </w:rPr>
        <w:t>Ovzdušie</w:t>
      </w:r>
    </w:p>
    <w:p w14:paraId="336FBEC4" w14:textId="77777777" w:rsidR="009D777B" w:rsidRPr="00426F74" w:rsidRDefault="009D777B" w:rsidP="009D777B">
      <w:pPr>
        <w:autoSpaceDE w:val="0"/>
        <w:autoSpaceDN w:val="0"/>
        <w:adjustRightInd w:val="0"/>
      </w:pPr>
      <w:r w:rsidRPr="00426F74">
        <w:t>Vyhláška MŽP SR č. 360/2010 Z.z. o kvalite ovzdušia v prílohe č. 17 ustanovuje zoznam aglomerácií a zón pre účely hodnotenia kvality ovzdušia. Územie Banskobystrického kraja bolo touto vyhláškou vymedzené za zónu pre oxid siričitý, oxid dusičitý a oxidy dusíka, častice PM</w:t>
      </w:r>
      <w:r w:rsidRPr="00426F74">
        <w:rPr>
          <w:vertAlign w:val="subscript"/>
        </w:rPr>
        <w:t>10</w:t>
      </w:r>
      <w:r w:rsidRPr="00426F74">
        <w:t>, častice PM</w:t>
      </w:r>
      <w:r w:rsidRPr="00426F74">
        <w:rPr>
          <w:vertAlign w:val="subscript"/>
        </w:rPr>
        <w:t>2,5</w:t>
      </w:r>
      <w:r w:rsidRPr="00426F74">
        <w:t xml:space="preserve">, benzén a oxid uhoľnatý. </w:t>
      </w:r>
    </w:p>
    <w:p w14:paraId="2AF9926B" w14:textId="7A3AA885" w:rsidR="00E02A01" w:rsidRDefault="009D777B" w:rsidP="009D777B">
      <w:pPr>
        <w:autoSpaceDE w:val="0"/>
        <w:autoSpaceDN w:val="0"/>
        <w:adjustRightInd w:val="0"/>
      </w:pPr>
      <w:r w:rsidRPr="00426F74">
        <w:t>Na znečisťovaní ovzdušia sa v podstatnej miere podieľajú existujúce stacionárne zdroje znečisťovania ovzdušia, líniové zdroje - automobilová doprava a poľnohospodárska výroba. Prehľad množstva znečisťujúcich látok zo stacionárnych zdrojov v okrese Žarnovica za posledných 10 rokov je uvedený v nasledujúcej tabuľke.</w:t>
      </w:r>
    </w:p>
    <w:p w14:paraId="375FFC24" w14:textId="77777777" w:rsidR="007C5303" w:rsidRPr="00426F74" w:rsidRDefault="007C5303" w:rsidP="009D777B">
      <w:pPr>
        <w:autoSpaceDE w:val="0"/>
        <w:autoSpaceDN w:val="0"/>
        <w:adjustRightInd w:val="0"/>
      </w:pPr>
    </w:p>
    <w:p w14:paraId="0422764F" w14:textId="510C8A69" w:rsidR="005F29A9" w:rsidRDefault="005F29A9" w:rsidP="005F29A9">
      <w:pPr>
        <w:pStyle w:val="Popis"/>
      </w:pPr>
      <w:r>
        <w:t xml:space="preserve">Tab. </w:t>
      </w:r>
      <w:r>
        <w:fldChar w:fldCharType="begin"/>
      </w:r>
      <w:r>
        <w:instrText xml:space="preserve"> SEQ Tab. \* ARABIC </w:instrText>
      </w:r>
      <w:r>
        <w:fldChar w:fldCharType="separate"/>
      </w:r>
      <w:r w:rsidR="00467FCC">
        <w:rPr>
          <w:noProof/>
        </w:rPr>
        <w:t>14</w:t>
      </w:r>
      <w:r>
        <w:fldChar w:fldCharType="end"/>
      </w:r>
      <w:r>
        <w:t xml:space="preserve"> - </w:t>
      </w:r>
      <w:bookmarkStart w:id="27" w:name="_Toc464676849"/>
      <w:r w:rsidRPr="00426F74">
        <w:t>Množstvo emisií zo stacionárnych zdrojov v okrese Žarnovica v t/rok</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9D777B" w:rsidRPr="00426F74" w14:paraId="05115E42" w14:textId="77777777" w:rsidTr="005F29A9">
        <w:trPr>
          <w:tblHeader/>
        </w:trPr>
        <w:tc>
          <w:tcPr>
            <w:tcW w:w="1535" w:type="dxa"/>
            <w:shd w:val="clear" w:color="auto" w:fill="808080" w:themeFill="background1" w:themeFillShade="80"/>
            <w:vAlign w:val="center"/>
          </w:tcPr>
          <w:p w14:paraId="662DAB7B" w14:textId="77777777" w:rsidR="009D777B" w:rsidRPr="005F29A9" w:rsidRDefault="009D777B" w:rsidP="00113A12">
            <w:pPr>
              <w:autoSpaceDE w:val="0"/>
              <w:autoSpaceDN w:val="0"/>
              <w:adjustRightInd w:val="0"/>
              <w:jc w:val="center"/>
              <w:rPr>
                <w:rFonts w:cs="Calibri"/>
                <w:b/>
                <w:i/>
                <w:iCs/>
              </w:rPr>
            </w:pPr>
            <w:r w:rsidRPr="005F29A9">
              <w:rPr>
                <w:rFonts w:cs="Calibri"/>
                <w:b/>
                <w:i/>
                <w:iCs/>
              </w:rPr>
              <w:t>Rok</w:t>
            </w:r>
          </w:p>
        </w:tc>
        <w:tc>
          <w:tcPr>
            <w:tcW w:w="1535" w:type="dxa"/>
            <w:shd w:val="clear" w:color="auto" w:fill="808080" w:themeFill="background1" w:themeFillShade="80"/>
            <w:vAlign w:val="center"/>
          </w:tcPr>
          <w:p w14:paraId="01188520" w14:textId="77777777" w:rsidR="009D777B" w:rsidRPr="005F29A9" w:rsidRDefault="009D777B" w:rsidP="00113A12">
            <w:pPr>
              <w:autoSpaceDE w:val="0"/>
              <w:autoSpaceDN w:val="0"/>
              <w:adjustRightInd w:val="0"/>
              <w:jc w:val="center"/>
              <w:rPr>
                <w:rFonts w:cs="Calibri"/>
                <w:b/>
                <w:i/>
                <w:iCs/>
              </w:rPr>
            </w:pPr>
            <w:r w:rsidRPr="005F29A9">
              <w:rPr>
                <w:rFonts w:cs="Calibri"/>
                <w:b/>
                <w:i/>
                <w:iCs/>
              </w:rPr>
              <w:t>Tuhé znečisťujúce látky (TZL)</w:t>
            </w:r>
          </w:p>
        </w:tc>
        <w:tc>
          <w:tcPr>
            <w:tcW w:w="1535" w:type="dxa"/>
            <w:shd w:val="clear" w:color="auto" w:fill="808080" w:themeFill="background1" w:themeFillShade="80"/>
            <w:vAlign w:val="center"/>
          </w:tcPr>
          <w:p w14:paraId="24B7BE45" w14:textId="77777777" w:rsidR="009D777B" w:rsidRPr="005F29A9" w:rsidRDefault="009D777B" w:rsidP="00113A12">
            <w:pPr>
              <w:autoSpaceDE w:val="0"/>
              <w:autoSpaceDN w:val="0"/>
              <w:adjustRightInd w:val="0"/>
              <w:jc w:val="center"/>
              <w:rPr>
                <w:rFonts w:cs="Calibri"/>
                <w:b/>
                <w:i/>
                <w:iCs/>
              </w:rPr>
            </w:pPr>
            <w:r w:rsidRPr="005F29A9">
              <w:rPr>
                <w:rFonts w:cs="Calibri"/>
                <w:b/>
                <w:i/>
                <w:iCs/>
              </w:rPr>
              <w:t>Oxidy dusíka (NO</w:t>
            </w:r>
            <w:r w:rsidRPr="005F29A9">
              <w:rPr>
                <w:rFonts w:cs="Calibri"/>
                <w:b/>
                <w:i/>
                <w:iCs/>
                <w:vertAlign w:val="subscript"/>
              </w:rPr>
              <w:t>X</w:t>
            </w:r>
            <w:r w:rsidRPr="005F29A9">
              <w:rPr>
                <w:rFonts w:cs="Calibri"/>
                <w:b/>
                <w:i/>
                <w:iCs/>
              </w:rPr>
              <w:t>)</w:t>
            </w:r>
          </w:p>
        </w:tc>
        <w:tc>
          <w:tcPr>
            <w:tcW w:w="1535" w:type="dxa"/>
            <w:shd w:val="clear" w:color="auto" w:fill="808080" w:themeFill="background1" w:themeFillShade="80"/>
            <w:vAlign w:val="center"/>
          </w:tcPr>
          <w:p w14:paraId="380B25E6" w14:textId="77777777" w:rsidR="009D777B" w:rsidRPr="005F29A9" w:rsidRDefault="009D777B" w:rsidP="00113A12">
            <w:pPr>
              <w:autoSpaceDE w:val="0"/>
              <w:autoSpaceDN w:val="0"/>
              <w:adjustRightInd w:val="0"/>
              <w:jc w:val="center"/>
              <w:rPr>
                <w:rFonts w:cs="Calibri"/>
                <w:b/>
                <w:i/>
                <w:iCs/>
              </w:rPr>
            </w:pPr>
            <w:r w:rsidRPr="005F29A9">
              <w:rPr>
                <w:rFonts w:cs="Calibri"/>
                <w:b/>
                <w:i/>
                <w:iCs/>
              </w:rPr>
              <w:t>Oxid uhoľnatý (CO)</w:t>
            </w:r>
          </w:p>
        </w:tc>
        <w:tc>
          <w:tcPr>
            <w:tcW w:w="1536" w:type="dxa"/>
            <w:shd w:val="clear" w:color="auto" w:fill="808080" w:themeFill="background1" w:themeFillShade="80"/>
            <w:vAlign w:val="center"/>
          </w:tcPr>
          <w:p w14:paraId="1EB9BCD0" w14:textId="77777777" w:rsidR="009D777B" w:rsidRPr="005F29A9" w:rsidRDefault="009D777B" w:rsidP="00113A12">
            <w:pPr>
              <w:autoSpaceDE w:val="0"/>
              <w:autoSpaceDN w:val="0"/>
              <w:adjustRightInd w:val="0"/>
              <w:jc w:val="center"/>
              <w:rPr>
                <w:rFonts w:cs="Calibri"/>
                <w:b/>
                <w:i/>
                <w:iCs/>
              </w:rPr>
            </w:pPr>
            <w:r w:rsidRPr="005F29A9">
              <w:rPr>
                <w:rFonts w:cs="Calibri"/>
                <w:b/>
                <w:i/>
                <w:iCs/>
              </w:rPr>
              <w:t>Celkový organický dusík (TOC)</w:t>
            </w:r>
          </w:p>
        </w:tc>
        <w:tc>
          <w:tcPr>
            <w:tcW w:w="1536" w:type="dxa"/>
            <w:shd w:val="clear" w:color="auto" w:fill="808080" w:themeFill="background1" w:themeFillShade="80"/>
            <w:vAlign w:val="center"/>
          </w:tcPr>
          <w:p w14:paraId="568D4809" w14:textId="77777777" w:rsidR="009D777B" w:rsidRPr="005F29A9" w:rsidRDefault="009D777B" w:rsidP="00113A12">
            <w:pPr>
              <w:autoSpaceDE w:val="0"/>
              <w:autoSpaceDN w:val="0"/>
              <w:adjustRightInd w:val="0"/>
              <w:jc w:val="center"/>
              <w:rPr>
                <w:rFonts w:cs="Calibri"/>
                <w:b/>
                <w:i/>
                <w:iCs/>
              </w:rPr>
            </w:pPr>
            <w:r w:rsidRPr="005F29A9">
              <w:rPr>
                <w:rFonts w:cs="Calibri"/>
                <w:b/>
                <w:i/>
                <w:iCs/>
              </w:rPr>
              <w:t>Oxid siričitý (SO</w:t>
            </w:r>
            <w:r w:rsidRPr="005F29A9">
              <w:rPr>
                <w:rFonts w:cs="Calibri"/>
                <w:b/>
                <w:i/>
                <w:iCs/>
                <w:vertAlign w:val="subscript"/>
              </w:rPr>
              <w:t>2</w:t>
            </w:r>
            <w:r w:rsidRPr="005F29A9">
              <w:rPr>
                <w:rFonts w:cs="Calibri"/>
                <w:b/>
                <w:i/>
                <w:iCs/>
              </w:rPr>
              <w:t>)</w:t>
            </w:r>
          </w:p>
        </w:tc>
      </w:tr>
      <w:tr w:rsidR="009D777B" w:rsidRPr="00426F74" w14:paraId="6853135D" w14:textId="77777777" w:rsidTr="00113A12">
        <w:tc>
          <w:tcPr>
            <w:tcW w:w="1535" w:type="dxa"/>
            <w:vAlign w:val="center"/>
          </w:tcPr>
          <w:p w14:paraId="0659CD6A" w14:textId="77777777" w:rsidR="009D777B" w:rsidRPr="00426F74" w:rsidRDefault="009D777B" w:rsidP="00113A12">
            <w:pPr>
              <w:autoSpaceDE w:val="0"/>
              <w:autoSpaceDN w:val="0"/>
              <w:adjustRightInd w:val="0"/>
              <w:jc w:val="center"/>
              <w:rPr>
                <w:rFonts w:cs="Calibri"/>
                <w:b/>
              </w:rPr>
            </w:pPr>
            <w:r w:rsidRPr="00426F74">
              <w:rPr>
                <w:rFonts w:cs="Calibri"/>
                <w:b/>
              </w:rPr>
              <w:t>2004</w:t>
            </w:r>
          </w:p>
        </w:tc>
        <w:tc>
          <w:tcPr>
            <w:tcW w:w="1535" w:type="dxa"/>
            <w:vAlign w:val="center"/>
          </w:tcPr>
          <w:p w14:paraId="3E2A2144" w14:textId="77777777" w:rsidR="009D777B" w:rsidRPr="00426F74" w:rsidRDefault="009D777B" w:rsidP="00113A12">
            <w:pPr>
              <w:jc w:val="center"/>
              <w:rPr>
                <w:rFonts w:cs="Calibri"/>
              </w:rPr>
            </w:pPr>
            <w:r w:rsidRPr="00426F74">
              <w:rPr>
                <w:rFonts w:cs="Calibri"/>
              </w:rPr>
              <w:t>75,941</w:t>
            </w:r>
          </w:p>
        </w:tc>
        <w:tc>
          <w:tcPr>
            <w:tcW w:w="1535" w:type="dxa"/>
            <w:vAlign w:val="center"/>
          </w:tcPr>
          <w:p w14:paraId="714B0BA9" w14:textId="77777777" w:rsidR="009D777B" w:rsidRPr="00426F74" w:rsidRDefault="009D777B" w:rsidP="00113A12">
            <w:pPr>
              <w:jc w:val="center"/>
              <w:rPr>
                <w:rFonts w:cs="Calibri"/>
              </w:rPr>
            </w:pPr>
            <w:r w:rsidRPr="00426F74">
              <w:rPr>
                <w:rFonts w:cs="Calibri"/>
              </w:rPr>
              <w:t>102,762</w:t>
            </w:r>
          </w:p>
        </w:tc>
        <w:tc>
          <w:tcPr>
            <w:tcW w:w="1535" w:type="dxa"/>
            <w:vAlign w:val="center"/>
          </w:tcPr>
          <w:p w14:paraId="670B4A0E" w14:textId="77777777" w:rsidR="009D777B" w:rsidRPr="00426F74" w:rsidRDefault="009D777B" w:rsidP="00113A12">
            <w:pPr>
              <w:jc w:val="center"/>
              <w:rPr>
                <w:rFonts w:cs="Calibri"/>
              </w:rPr>
            </w:pPr>
            <w:r w:rsidRPr="00426F74">
              <w:rPr>
                <w:rFonts w:cs="Calibri"/>
              </w:rPr>
              <w:t>303,342</w:t>
            </w:r>
          </w:p>
        </w:tc>
        <w:tc>
          <w:tcPr>
            <w:tcW w:w="1536" w:type="dxa"/>
            <w:vAlign w:val="center"/>
          </w:tcPr>
          <w:p w14:paraId="3724D813" w14:textId="77777777" w:rsidR="009D777B" w:rsidRPr="00426F74" w:rsidRDefault="009D777B" w:rsidP="00113A12">
            <w:pPr>
              <w:jc w:val="center"/>
              <w:rPr>
                <w:rFonts w:cs="Calibri"/>
              </w:rPr>
            </w:pPr>
            <w:r w:rsidRPr="00426F74">
              <w:rPr>
                <w:rFonts w:cs="Calibri"/>
              </w:rPr>
              <w:t>7,529</w:t>
            </w:r>
          </w:p>
        </w:tc>
        <w:tc>
          <w:tcPr>
            <w:tcW w:w="1536" w:type="dxa"/>
            <w:vAlign w:val="center"/>
          </w:tcPr>
          <w:p w14:paraId="1B821457" w14:textId="77777777" w:rsidR="009D777B" w:rsidRPr="00426F74" w:rsidRDefault="009D777B" w:rsidP="00113A12">
            <w:pPr>
              <w:jc w:val="center"/>
              <w:rPr>
                <w:rFonts w:cs="Calibri"/>
              </w:rPr>
            </w:pPr>
            <w:r w:rsidRPr="00426F74">
              <w:rPr>
                <w:rFonts w:cs="Calibri"/>
              </w:rPr>
              <w:t>183,675</w:t>
            </w:r>
          </w:p>
        </w:tc>
      </w:tr>
      <w:tr w:rsidR="009D777B" w:rsidRPr="00426F74" w14:paraId="78859070" w14:textId="77777777" w:rsidTr="00113A12">
        <w:tc>
          <w:tcPr>
            <w:tcW w:w="1535" w:type="dxa"/>
            <w:vAlign w:val="center"/>
          </w:tcPr>
          <w:p w14:paraId="561AB4BF" w14:textId="77777777" w:rsidR="009D777B" w:rsidRPr="00426F74" w:rsidRDefault="009D777B" w:rsidP="00113A12">
            <w:pPr>
              <w:autoSpaceDE w:val="0"/>
              <w:autoSpaceDN w:val="0"/>
              <w:adjustRightInd w:val="0"/>
              <w:jc w:val="center"/>
              <w:rPr>
                <w:rFonts w:cs="Calibri"/>
                <w:b/>
              </w:rPr>
            </w:pPr>
            <w:r w:rsidRPr="00426F74">
              <w:rPr>
                <w:rFonts w:cs="Calibri"/>
                <w:b/>
              </w:rPr>
              <w:t>2005</w:t>
            </w:r>
          </w:p>
        </w:tc>
        <w:tc>
          <w:tcPr>
            <w:tcW w:w="1535" w:type="dxa"/>
            <w:vAlign w:val="center"/>
          </w:tcPr>
          <w:p w14:paraId="5994D4AF" w14:textId="77777777" w:rsidR="009D777B" w:rsidRPr="00426F74" w:rsidRDefault="009D777B" w:rsidP="00113A12">
            <w:pPr>
              <w:jc w:val="center"/>
              <w:rPr>
                <w:rFonts w:cs="Calibri"/>
              </w:rPr>
            </w:pPr>
            <w:r w:rsidRPr="00426F74">
              <w:rPr>
                <w:rFonts w:cs="Calibri"/>
              </w:rPr>
              <w:t>71,455</w:t>
            </w:r>
          </w:p>
        </w:tc>
        <w:tc>
          <w:tcPr>
            <w:tcW w:w="1535" w:type="dxa"/>
            <w:vAlign w:val="center"/>
          </w:tcPr>
          <w:p w14:paraId="3DB01A7C" w14:textId="77777777" w:rsidR="009D777B" w:rsidRPr="00426F74" w:rsidRDefault="009D777B" w:rsidP="00113A12">
            <w:pPr>
              <w:jc w:val="center"/>
              <w:rPr>
                <w:rFonts w:cs="Calibri"/>
              </w:rPr>
            </w:pPr>
            <w:r w:rsidRPr="00426F74">
              <w:rPr>
                <w:rFonts w:cs="Calibri"/>
              </w:rPr>
              <w:t>94,033</w:t>
            </w:r>
          </w:p>
        </w:tc>
        <w:tc>
          <w:tcPr>
            <w:tcW w:w="1535" w:type="dxa"/>
            <w:vAlign w:val="center"/>
          </w:tcPr>
          <w:p w14:paraId="27F4E9E1" w14:textId="77777777" w:rsidR="009D777B" w:rsidRPr="00426F74" w:rsidRDefault="009D777B" w:rsidP="00113A12">
            <w:pPr>
              <w:jc w:val="center"/>
              <w:rPr>
                <w:rFonts w:cs="Calibri"/>
              </w:rPr>
            </w:pPr>
            <w:r w:rsidRPr="00426F74">
              <w:rPr>
                <w:rFonts w:cs="Calibri"/>
              </w:rPr>
              <w:t>252,756</w:t>
            </w:r>
          </w:p>
        </w:tc>
        <w:tc>
          <w:tcPr>
            <w:tcW w:w="1536" w:type="dxa"/>
            <w:vAlign w:val="center"/>
          </w:tcPr>
          <w:p w14:paraId="79BD269D" w14:textId="77777777" w:rsidR="009D777B" w:rsidRPr="00426F74" w:rsidRDefault="009D777B" w:rsidP="00113A12">
            <w:pPr>
              <w:jc w:val="center"/>
              <w:rPr>
                <w:rFonts w:cs="Calibri"/>
              </w:rPr>
            </w:pPr>
            <w:r w:rsidRPr="00426F74">
              <w:rPr>
                <w:rFonts w:cs="Calibri"/>
              </w:rPr>
              <w:t>9,356</w:t>
            </w:r>
          </w:p>
        </w:tc>
        <w:tc>
          <w:tcPr>
            <w:tcW w:w="1536" w:type="dxa"/>
            <w:vAlign w:val="center"/>
          </w:tcPr>
          <w:p w14:paraId="687F58FB" w14:textId="77777777" w:rsidR="009D777B" w:rsidRPr="00426F74" w:rsidRDefault="009D777B" w:rsidP="00113A12">
            <w:pPr>
              <w:jc w:val="center"/>
              <w:rPr>
                <w:rFonts w:cs="Calibri"/>
              </w:rPr>
            </w:pPr>
            <w:r w:rsidRPr="00426F74">
              <w:rPr>
                <w:rFonts w:cs="Calibri"/>
              </w:rPr>
              <w:t>140,599</w:t>
            </w:r>
          </w:p>
        </w:tc>
      </w:tr>
      <w:tr w:rsidR="009D777B" w:rsidRPr="00426F74" w14:paraId="16BAD07F" w14:textId="77777777" w:rsidTr="00113A12">
        <w:tc>
          <w:tcPr>
            <w:tcW w:w="1535" w:type="dxa"/>
            <w:vAlign w:val="center"/>
          </w:tcPr>
          <w:p w14:paraId="3703112C" w14:textId="77777777" w:rsidR="009D777B" w:rsidRPr="00426F74" w:rsidRDefault="009D777B" w:rsidP="00113A12">
            <w:pPr>
              <w:autoSpaceDE w:val="0"/>
              <w:autoSpaceDN w:val="0"/>
              <w:adjustRightInd w:val="0"/>
              <w:jc w:val="center"/>
              <w:rPr>
                <w:rFonts w:cs="Calibri"/>
                <w:b/>
              </w:rPr>
            </w:pPr>
            <w:r w:rsidRPr="00426F74">
              <w:rPr>
                <w:rFonts w:cs="Calibri"/>
                <w:b/>
              </w:rPr>
              <w:t>2006</w:t>
            </w:r>
          </w:p>
        </w:tc>
        <w:tc>
          <w:tcPr>
            <w:tcW w:w="1535" w:type="dxa"/>
            <w:vAlign w:val="center"/>
          </w:tcPr>
          <w:p w14:paraId="0BB6A1D3" w14:textId="77777777" w:rsidR="009D777B" w:rsidRPr="00426F74" w:rsidRDefault="009D777B" w:rsidP="00113A12">
            <w:pPr>
              <w:jc w:val="center"/>
              <w:rPr>
                <w:rFonts w:cs="Calibri"/>
              </w:rPr>
            </w:pPr>
            <w:r w:rsidRPr="00426F74">
              <w:rPr>
                <w:rFonts w:cs="Calibri"/>
              </w:rPr>
              <w:t>66,431</w:t>
            </w:r>
          </w:p>
        </w:tc>
        <w:tc>
          <w:tcPr>
            <w:tcW w:w="1535" w:type="dxa"/>
            <w:vAlign w:val="center"/>
          </w:tcPr>
          <w:p w14:paraId="786AD126" w14:textId="77777777" w:rsidR="009D777B" w:rsidRPr="00426F74" w:rsidRDefault="009D777B" w:rsidP="00113A12">
            <w:pPr>
              <w:jc w:val="center"/>
              <w:rPr>
                <w:rFonts w:cs="Calibri"/>
              </w:rPr>
            </w:pPr>
            <w:r w:rsidRPr="00426F74">
              <w:rPr>
                <w:rFonts w:cs="Calibri"/>
              </w:rPr>
              <w:t>89,478</w:t>
            </w:r>
          </w:p>
        </w:tc>
        <w:tc>
          <w:tcPr>
            <w:tcW w:w="1535" w:type="dxa"/>
            <w:vAlign w:val="center"/>
          </w:tcPr>
          <w:p w14:paraId="34E6932B" w14:textId="77777777" w:rsidR="009D777B" w:rsidRPr="00426F74" w:rsidRDefault="009D777B" w:rsidP="00113A12">
            <w:pPr>
              <w:jc w:val="center"/>
              <w:rPr>
                <w:rFonts w:cs="Calibri"/>
              </w:rPr>
            </w:pPr>
            <w:r w:rsidRPr="00426F74">
              <w:rPr>
                <w:rFonts w:cs="Calibri"/>
              </w:rPr>
              <w:t>142,979</w:t>
            </w:r>
          </w:p>
        </w:tc>
        <w:tc>
          <w:tcPr>
            <w:tcW w:w="1536" w:type="dxa"/>
            <w:vAlign w:val="center"/>
          </w:tcPr>
          <w:p w14:paraId="0CA8B5E9" w14:textId="77777777" w:rsidR="009D777B" w:rsidRPr="00426F74" w:rsidRDefault="009D777B" w:rsidP="00113A12">
            <w:pPr>
              <w:jc w:val="center"/>
              <w:rPr>
                <w:rFonts w:cs="Calibri"/>
              </w:rPr>
            </w:pPr>
            <w:r w:rsidRPr="00426F74">
              <w:rPr>
                <w:rFonts w:cs="Calibri"/>
              </w:rPr>
              <w:t>15,878</w:t>
            </w:r>
          </w:p>
        </w:tc>
        <w:tc>
          <w:tcPr>
            <w:tcW w:w="1536" w:type="dxa"/>
            <w:vAlign w:val="center"/>
          </w:tcPr>
          <w:p w14:paraId="3F576497" w14:textId="77777777" w:rsidR="009D777B" w:rsidRPr="00426F74" w:rsidRDefault="009D777B" w:rsidP="00113A12">
            <w:pPr>
              <w:jc w:val="center"/>
              <w:rPr>
                <w:rFonts w:cs="Calibri"/>
              </w:rPr>
            </w:pPr>
            <w:r w:rsidRPr="00426F74">
              <w:rPr>
                <w:rFonts w:cs="Calibri"/>
              </w:rPr>
              <w:t>137,077</w:t>
            </w:r>
          </w:p>
        </w:tc>
      </w:tr>
      <w:tr w:rsidR="009D777B" w:rsidRPr="00426F74" w14:paraId="41844629" w14:textId="77777777" w:rsidTr="00113A12">
        <w:tc>
          <w:tcPr>
            <w:tcW w:w="1535" w:type="dxa"/>
            <w:vAlign w:val="center"/>
          </w:tcPr>
          <w:p w14:paraId="17DD513C" w14:textId="77777777" w:rsidR="009D777B" w:rsidRPr="00426F74" w:rsidRDefault="009D777B" w:rsidP="00113A12">
            <w:pPr>
              <w:autoSpaceDE w:val="0"/>
              <w:autoSpaceDN w:val="0"/>
              <w:adjustRightInd w:val="0"/>
              <w:jc w:val="center"/>
              <w:rPr>
                <w:rFonts w:cs="Calibri"/>
                <w:b/>
              </w:rPr>
            </w:pPr>
            <w:r w:rsidRPr="00426F74">
              <w:rPr>
                <w:rFonts w:cs="Calibri"/>
                <w:b/>
              </w:rPr>
              <w:t>2007</w:t>
            </w:r>
          </w:p>
        </w:tc>
        <w:tc>
          <w:tcPr>
            <w:tcW w:w="1535" w:type="dxa"/>
            <w:vAlign w:val="center"/>
          </w:tcPr>
          <w:p w14:paraId="20822E03" w14:textId="77777777" w:rsidR="009D777B" w:rsidRPr="00426F74" w:rsidRDefault="009D777B" w:rsidP="00113A12">
            <w:pPr>
              <w:jc w:val="center"/>
              <w:rPr>
                <w:rFonts w:cs="Calibri"/>
              </w:rPr>
            </w:pPr>
            <w:r w:rsidRPr="00426F74">
              <w:rPr>
                <w:rFonts w:cs="Calibri"/>
              </w:rPr>
              <w:t>81,372</w:t>
            </w:r>
          </w:p>
        </w:tc>
        <w:tc>
          <w:tcPr>
            <w:tcW w:w="1535" w:type="dxa"/>
            <w:vAlign w:val="center"/>
          </w:tcPr>
          <w:p w14:paraId="3D2BD9F2" w14:textId="77777777" w:rsidR="009D777B" w:rsidRPr="00426F74" w:rsidRDefault="009D777B" w:rsidP="00113A12">
            <w:pPr>
              <w:jc w:val="center"/>
              <w:rPr>
                <w:rFonts w:cs="Calibri"/>
              </w:rPr>
            </w:pPr>
            <w:r w:rsidRPr="00426F74">
              <w:rPr>
                <w:rFonts w:cs="Calibri"/>
              </w:rPr>
              <w:t>107,768</w:t>
            </w:r>
          </w:p>
        </w:tc>
        <w:tc>
          <w:tcPr>
            <w:tcW w:w="1535" w:type="dxa"/>
            <w:vAlign w:val="center"/>
          </w:tcPr>
          <w:p w14:paraId="5654DCDF" w14:textId="77777777" w:rsidR="009D777B" w:rsidRPr="00426F74" w:rsidRDefault="009D777B" w:rsidP="00113A12">
            <w:pPr>
              <w:jc w:val="center"/>
              <w:rPr>
                <w:rFonts w:cs="Calibri"/>
              </w:rPr>
            </w:pPr>
            <w:r w:rsidRPr="00426F74">
              <w:rPr>
                <w:rFonts w:cs="Calibri"/>
              </w:rPr>
              <w:t>113,833</w:t>
            </w:r>
          </w:p>
        </w:tc>
        <w:tc>
          <w:tcPr>
            <w:tcW w:w="1536" w:type="dxa"/>
            <w:vAlign w:val="center"/>
          </w:tcPr>
          <w:p w14:paraId="10AA4D8D" w14:textId="77777777" w:rsidR="009D777B" w:rsidRPr="00426F74" w:rsidRDefault="009D777B" w:rsidP="00113A12">
            <w:pPr>
              <w:jc w:val="center"/>
              <w:rPr>
                <w:rFonts w:cs="Calibri"/>
              </w:rPr>
            </w:pPr>
            <w:r w:rsidRPr="00426F74">
              <w:rPr>
                <w:rFonts w:cs="Calibri"/>
              </w:rPr>
              <w:t>15,824</w:t>
            </w:r>
          </w:p>
        </w:tc>
        <w:tc>
          <w:tcPr>
            <w:tcW w:w="1536" w:type="dxa"/>
            <w:vAlign w:val="center"/>
          </w:tcPr>
          <w:p w14:paraId="706DDB55" w14:textId="77777777" w:rsidR="009D777B" w:rsidRPr="00426F74" w:rsidRDefault="009D777B" w:rsidP="00113A12">
            <w:pPr>
              <w:jc w:val="center"/>
              <w:rPr>
                <w:rFonts w:cs="Calibri"/>
              </w:rPr>
            </w:pPr>
            <w:r w:rsidRPr="00426F74">
              <w:rPr>
                <w:rFonts w:cs="Calibri"/>
              </w:rPr>
              <w:t>277,905</w:t>
            </w:r>
          </w:p>
        </w:tc>
      </w:tr>
      <w:tr w:rsidR="009D777B" w:rsidRPr="00426F74" w14:paraId="4AEE8934" w14:textId="77777777" w:rsidTr="00113A12">
        <w:tc>
          <w:tcPr>
            <w:tcW w:w="1535" w:type="dxa"/>
            <w:vAlign w:val="center"/>
          </w:tcPr>
          <w:p w14:paraId="0A847D85" w14:textId="77777777" w:rsidR="009D777B" w:rsidRPr="00426F74" w:rsidRDefault="009D777B" w:rsidP="00113A12">
            <w:pPr>
              <w:autoSpaceDE w:val="0"/>
              <w:autoSpaceDN w:val="0"/>
              <w:adjustRightInd w:val="0"/>
              <w:jc w:val="center"/>
              <w:rPr>
                <w:rFonts w:cs="Calibri"/>
                <w:b/>
              </w:rPr>
            </w:pPr>
            <w:r w:rsidRPr="00426F74">
              <w:rPr>
                <w:rFonts w:cs="Calibri"/>
                <w:b/>
              </w:rPr>
              <w:t>2008</w:t>
            </w:r>
          </w:p>
        </w:tc>
        <w:tc>
          <w:tcPr>
            <w:tcW w:w="1535" w:type="dxa"/>
            <w:vAlign w:val="center"/>
          </w:tcPr>
          <w:p w14:paraId="17D01D01" w14:textId="77777777" w:rsidR="009D777B" w:rsidRPr="00426F74" w:rsidRDefault="009D777B" w:rsidP="00113A12">
            <w:pPr>
              <w:jc w:val="center"/>
              <w:rPr>
                <w:rFonts w:cs="Calibri"/>
              </w:rPr>
            </w:pPr>
            <w:r w:rsidRPr="00426F74">
              <w:rPr>
                <w:rFonts w:cs="Calibri"/>
              </w:rPr>
              <w:t>71,389</w:t>
            </w:r>
          </w:p>
        </w:tc>
        <w:tc>
          <w:tcPr>
            <w:tcW w:w="1535" w:type="dxa"/>
            <w:vAlign w:val="center"/>
          </w:tcPr>
          <w:p w14:paraId="25F55FFE" w14:textId="77777777" w:rsidR="009D777B" w:rsidRPr="00426F74" w:rsidRDefault="009D777B" w:rsidP="00113A12">
            <w:pPr>
              <w:jc w:val="center"/>
              <w:rPr>
                <w:rFonts w:cs="Calibri"/>
              </w:rPr>
            </w:pPr>
            <w:r w:rsidRPr="00426F74">
              <w:rPr>
                <w:rFonts w:cs="Calibri"/>
              </w:rPr>
              <w:t>89,151</w:t>
            </w:r>
          </w:p>
        </w:tc>
        <w:tc>
          <w:tcPr>
            <w:tcW w:w="1535" w:type="dxa"/>
            <w:vAlign w:val="center"/>
          </w:tcPr>
          <w:p w14:paraId="517068B1" w14:textId="77777777" w:rsidR="009D777B" w:rsidRPr="00426F74" w:rsidRDefault="009D777B" w:rsidP="00113A12">
            <w:pPr>
              <w:jc w:val="center"/>
              <w:rPr>
                <w:rFonts w:cs="Calibri"/>
              </w:rPr>
            </w:pPr>
            <w:r w:rsidRPr="00426F74">
              <w:rPr>
                <w:rFonts w:cs="Calibri"/>
              </w:rPr>
              <w:t>80,959</w:t>
            </w:r>
          </w:p>
        </w:tc>
        <w:tc>
          <w:tcPr>
            <w:tcW w:w="1536" w:type="dxa"/>
            <w:vAlign w:val="center"/>
          </w:tcPr>
          <w:p w14:paraId="606D2AD6" w14:textId="77777777" w:rsidR="009D777B" w:rsidRPr="00426F74" w:rsidRDefault="009D777B" w:rsidP="00113A12">
            <w:pPr>
              <w:jc w:val="center"/>
              <w:rPr>
                <w:rFonts w:cs="Calibri"/>
              </w:rPr>
            </w:pPr>
            <w:r w:rsidRPr="00426F74">
              <w:rPr>
                <w:rFonts w:cs="Calibri"/>
              </w:rPr>
              <w:t>8,081</w:t>
            </w:r>
          </w:p>
        </w:tc>
        <w:tc>
          <w:tcPr>
            <w:tcW w:w="1536" w:type="dxa"/>
            <w:vAlign w:val="center"/>
          </w:tcPr>
          <w:p w14:paraId="57113A18" w14:textId="77777777" w:rsidR="009D777B" w:rsidRPr="00426F74" w:rsidRDefault="009D777B" w:rsidP="00113A12">
            <w:pPr>
              <w:jc w:val="center"/>
              <w:rPr>
                <w:rFonts w:cs="Calibri"/>
              </w:rPr>
            </w:pPr>
            <w:r w:rsidRPr="00426F74">
              <w:rPr>
                <w:rFonts w:cs="Calibri"/>
              </w:rPr>
              <w:t>274,633</w:t>
            </w:r>
          </w:p>
        </w:tc>
      </w:tr>
      <w:tr w:rsidR="009D777B" w:rsidRPr="00426F74" w14:paraId="76B50F5E" w14:textId="77777777" w:rsidTr="00113A12">
        <w:tc>
          <w:tcPr>
            <w:tcW w:w="1535" w:type="dxa"/>
            <w:vAlign w:val="center"/>
          </w:tcPr>
          <w:p w14:paraId="3C126B9A" w14:textId="77777777" w:rsidR="009D777B" w:rsidRPr="00426F74" w:rsidRDefault="009D777B" w:rsidP="00113A12">
            <w:pPr>
              <w:autoSpaceDE w:val="0"/>
              <w:autoSpaceDN w:val="0"/>
              <w:adjustRightInd w:val="0"/>
              <w:jc w:val="center"/>
              <w:rPr>
                <w:rFonts w:cs="Calibri"/>
                <w:b/>
              </w:rPr>
            </w:pPr>
            <w:r w:rsidRPr="00426F74">
              <w:rPr>
                <w:rFonts w:cs="Calibri"/>
                <w:b/>
              </w:rPr>
              <w:t>2009</w:t>
            </w:r>
          </w:p>
        </w:tc>
        <w:tc>
          <w:tcPr>
            <w:tcW w:w="1535" w:type="dxa"/>
            <w:vAlign w:val="center"/>
          </w:tcPr>
          <w:p w14:paraId="29B6D960" w14:textId="77777777" w:rsidR="009D777B" w:rsidRPr="00426F74" w:rsidRDefault="009D777B" w:rsidP="00113A12">
            <w:pPr>
              <w:jc w:val="center"/>
              <w:rPr>
                <w:rFonts w:cs="Calibri"/>
              </w:rPr>
            </w:pPr>
            <w:r w:rsidRPr="00426F74">
              <w:rPr>
                <w:rFonts w:cs="Calibri"/>
              </w:rPr>
              <w:t>70,375</w:t>
            </w:r>
          </w:p>
        </w:tc>
        <w:tc>
          <w:tcPr>
            <w:tcW w:w="1535" w:type="dxa"/>
            <w:vAlign w:val="center"/>
          </w:tcPr>
          <w:p w14:paraId="66BDF6F6" w14:textId="77777777" w:rsidR="009D777B" w:rsidRPr="00426F74" w:rsidRDefault="009D777B" w:rsidP="00113A12">
            <w:pPr>
              <w:jc w:val="center"/>
              <w:rPr>
                <w:rFonts w:cs="Calibri"/>
              </w:rPr>
            </w:pPr>
            <w:r w:rsidRPr="00426F74">
              <w:rPr>
                <w:rFonts w:cs="Calibri"/>
              </w:rPr>
              <w:t>83,128</w:t>
            </w:r>
          </w:p>
        </w:tc>
        <w:tc>
          <w:tcPr>
            <w:tcW w:w="1535" w:type="dxa"/>
            <w:vAlign w:val="center"/>
          </w:tcPr>
          <w:p w14:paraId="20B83953" w14:textId="77777777" w:rsidR="009D777B" w:rsidRPr="00426F74" w:rsidRDefault="009D777B" w:rsidP="00113A12">
            <w:pPr>
              <w:jc w:val="center"/>
              <w:rPr>
                <w:rFonts w:cs="Calibri"/>
              </w:rPr>
            </w:pPr>
            <w:r w:rsidRPr="00426F74">
              <w:rPr>
                <w:rFonts w:cs="Calibri"/>
              </w:rPr>
              <w:t>78,786</w:t>
            </w:r>
          </w:p>
        </w:tc>
        <w:tc>
          <w:tcPr>
            <w:tcW w:w="1536" w:type="dxa"/>
            <w:vAlign w:val="center"/>
          </w:tcPr>
          <w:p w14:paraId="567BE597" w14:textId="77777777" w:rsidR="009D777B" w:rsidRPr="00426F74" w:rsidRDefault="009D777B" w:rsidP="00113A12">
            <w:pPr>
              <w:jc w:val="center"/>
              <w:rPr>
                <w:rFonts w:cs="Calibri"/>
              </w:rPr>
            </w:pPr>
            <w:r w:rsidRPr="00426F74">
              <w:rPr>
                <w:rFonts w:cs="Calibri"/>
              </w:rPr>
              <w:t>5,747</w:t>
            </w:r>
          </w:p>
        </w:tc>
        <w:tc>
          <w:tcPr>
            <w:tcW w:w="1536" w:type="dxa"/>
            <w:vAlign w:val="center"/>
          </w:tcPr>
          <w:p w14:paraId="6A23B3C9" w14:textId="77777777" w:rsidR="009D777B" w:rsidRPr="00426F74" w:rsidRDefault="009D777B" w:rsidP="00113A12">
            <w:pPr>
              <w:jc w:val="center"/>
              <w:rPr>
                <w:rFonts w:cs="Calibri"/>
              </w:rPr>
            </w:pPr>
            <w:r w:rsidRPr="00426F74">
              <w:rPr>
                <w:rFonts w:cs="Calibri"/>
              </w:rPr>
              <w:t>264,511</w:t>
            </w:r>
          </w:p>
        </w:tc>
      </w:tr>
      <w:tr w:rsidR="009D777B" w:rsidRPr="00426F74" w14:paraId="04178E56" w14:textId="77777777" w:rsidTr="00113A12">
        <w:tc>
          <w:tcPr>
            <w:tcW w:w="1535" w:type="dxa"/>
            <w:vAlign w:val="center"/>
          </w:tcPr>
          <w:p w14:paraId="1B1B71D3" w14:textId="77777777" w:rsidR="009D777B" w:rsidRPr="00426F74" w:rsidRDefault="009D777B" w:rsidP="00113A12">
            <w:pPr>
              <w:autoSpaceDE w:val="0"/>
              <w:autoSpaceDN w:val="0"/>
              <w:adjustRightInd w:val="0"/>
              <w:jc w:val="center"/>
              <w:rPr>
                <w:rFonts w:cs="Calibri"/>
                <w:b/>
              </w:rPr>
            </w:pPr>
            <w:r w:rsidRPr="00426F74">
              <w:rPr>
                <w:rFonts w:cs="Calibri"/>
                <w:b/>
              </w:rPr>
              <w:t>2010</w:t>
            </w:r>
          </w:p>
        </w:tc>
        <w:tc>
          <w:tcPr>
            <w:tcW w:w="1535" w:type="dxa"/>
            <w:vAlign w:val="center"/>
          </w:tcPr>
          <w:p w14:paraId="06EA7C0E" w14:textId="77777777" w:rsidR="009D777B" w:rsidRPr="00426F74" w:rsidRDefault="009D777B" w:rsidP="00113A12">
            <w:pPr>
              <w:jc w:val="center"/>
              <w:rPr>
                <w:rFonts w:cs="Calibri"/>
              </w:rPr>
            </w:pPr>
            <w:r w:rsidRPr="00426F74">
              <w:rPr>
                <w:rFonts w:cs="Calibri"/>
              </w:rPr>
              <w:t>68,349</w:t>
            </w:r>
          </w:p>
        </w:tc>
        <w:tc>
          <w:tcPr>
            <w:tcW w:w="1535" w:type="dxa"/>
            <w:vAlign w:val="center"/>
          </w:tcPr>
          <w:p w14:paraId="6CA5D4BD" w14:textId="77777777" w:rsidR="009D777B" w:rsidRPr="00426F74" w:rsidRDefault="009D777B" w:rsidP="00113A12">
            <w:pPr>
              <w:jc w:val="center"/>
              <w:rPr>
                <w:rFonts w:cs="Calibri"/>
              </w:rPr>
            </w:pPr>
            <w:r w:rsidRPr="00426F74">
              <w:rPr>
                <w:rFonts w:cs="Calibri"/>
              </w:rPr>
              <w:t>83,851</w:t>
            </w:r>
          </w:p>
        </w:tc>
        <w:tc>
          <w:tcPr>
            <w:tcW w:w="1535" w:type="dxa"/>
            <w:vAlign w:val="center"/>
          </w:tcPr>
          <w:p w14:paraId="30DF4495" w14:textId="77777777" w:rsidR="009D777B" w:rsidRPr="00426F74" w:rsidRDefault="009D777B" w:rsidP="00113A12">
            <w:pPr>
              <w:jc w:val="center"/>
              <w:rPr>
                <w:rFonts w:cs="Calibri"/>
              </w:rPr>
            </w:pPr>
            <w:r w:rsidRPr="00426F74">
              <w:rPr>
                <w:rFonts w:cs="Calibri"/>
              </w:rPr>
              <w:t>109,278</w:t>
            </w:r>
          </w:p>
        </w:tc>
        <w:tc>
          <w:tcPr>
            <w:tcW w:w="1536" w:type="dxa"/>
            <w:vAlign w:val="center"/>
          </w:tcPr>
          <w:p w14:paraId="0056CD97" w14:textId="77777777" w:rsidR="009D777B" w:rsidRPr="00426F74" w:rsidRDefault="009D777B" w:rsidP="00113A12">
            <w:pPr>
              <w:jc w:val="center"/>
              <w:rPr>
                <w:rFonts w:cs="Calibri"/>
              </w:rPr>
            </w:pPr>
            <w:r w:rsidRPr="00426F74">
              <w:rPr>
                <w:rFonts w:cs="Calibri"/>
              </w:rPr>
              <w:t>8,663</w:t>
            </w:r>
          </w:p>
        </w:tc>
        <w:tc>
          <w:tcPr>
            <w:tcW w:w="1536" w:type="dxa"/>
            <w:vAlign w:val="center"/>
          </w:tcPr>
          <w:p w14:paraId="1D19DBF2" w14:textId="77777777" w:rsidR="009D777B" w:rsidRPr="00426F74" w:rsidRDefault="009D777B" w:rsidP="00113A12">
            <w:pPr>
              <w:jc w:val="center"/>
              <w:rPr>
                <w:rFonts w:cs="Calibri"/>
              </w:rPr>
            </w:pPr>
            <w:r w:rsidRPr="00426F74">
              <w:rPr>
                <w:rFonts w:cs="Calibri"/>
              </w:rPr>
              <w:t>260,279</w:t>
            </w:r>
          </w:p>
        </w:tc>
      </w:tr>
      <w:tr w:rsidR="009D777B" w:rsidRPr="00426F74" w14:paraId="0C64C71E" w14:textId="77777777" w:rsidTr="00113A12">
        <w:tc>
          <w:tcPr>
            <w:tcW w:w="1535" w:type="dxa"/>
            <w:vAlign w:val="center"/>
          </w:tcPr>
          <w:p w14:paraId="16BC3CAE" w14:textId="77777777" w:rsidR="009D777B" w:rsidRPr="00426F74" w:rsidRDefault="009D777B" w:rsidP="00113A12">
            <w:pPr>
              <w:autoSpaceDE w:val="0"/>
              <w:autoSpaceDN w:val="0"/>
              <w:adjustRightInd w:val="0"/>
              <w:jc w:val="center"/>
              <w:rPr>
                <w:rFonts w:cs="Calibri"/>
                <w:b/>
              </w:rPr>
            </w:pPr>
            <w:r w:rsidRPr="00426F74">
              <w:rPr>
                <w:rFonts w:cs="Calibri"/>
                <w:b/>
              </w:rPr>
              <w:t>2011</w:t>
            </w:r>
          </w:p>
        </w:tc>
        <w:tc>
          <w:tcPr>
            <w:tcW w:w="1535" w:type="dxa"/>
            <w:vAlign w:val="center"/>
          </w:tcPr>
          <w:p w14:paraId="4E70A4F8" w14:textId="77777777" w:rsidR="009D777B" w:rsidRPr="00426F74" w:rsidRDefault="009D777B" w:rsidP="00113A12">
            <w:pPr>
              <w:jc w:val="center"/>
              <w:rPr>
                <w:rFonts w:cs="Calibri"/>
              </w:rPr>
            </w:pPr>
            <w:r w:rsidRPr="00426F74">
              <w:rPr>
                <w:rFonts w:cs="Calibri"/>
              </w:rPr>
              <w:t>72,597</w:t>
            </w:r>
          </w:p>
        </w:tc>
        <w:tc>
          <w:tcPr>
            <w:tcW w:w="1535" w:type="dxa"/>
            <w:vAlign w:val="center"/>
          </w:tcPr>
          <w:p w14:paraId="52759C0E" w14:textId="77777777" w:rsidR="009D777B" w:rsidRPr="00426F74" w:rsidRDefault="009D777B" w:rsidP="00113A12">
            <w:pPr>
              <w:jc w:val="center"/>
              <w:rPr>
                <w:rFonts w:cs="Calibri"/>
              </w:rPr>
            </w:pPr>
            <w:r w:rsidRPr="00426F74">
              <w:rPr>
                <w:rFonts w:cs="Calibri"/>
              </w:rPr>
              <w:t>92,152</w:t>
            </w:r>
          </w:p>
        </w:tc>
        <w:tc>
          <w:tcPr>
            <w:tcW w:w="1535" w:type="dxa"/>
            <w:vAlign w:val="center"/>
          </w:tcPr>
          <w:p w14:paraId="04F09663" w14:textId="77777777" w:rsidR="009D777B" w:rsidRPr="00426F74" w:rsidRDefault="009D777B" w:rsidP="00113A12">
            <w:pPr>
              <w:jc w:val="center"/>
              <w:rPr>
                <w:rFonts w:cs="Calibri"/>
              </w:rPr>
            </w:pPr>
            <w:r w:rsidRPr="00426F74">
              <w:rPr>
                <w:rFonts w:cs="Calibri"/>
              </w:rPr>
              <w:t>94,928</w:t>
            </w:r>
          </w:p>
        </w:tc>
        <w:tc>
          <w:tcPr>
            <w:tcW w:w="1536" w:type="dxa"/>
            <w:vAlign w:val="center"/>
          </w:tcPr>
          <w:p w14:paraId="1CC60A84" w14:textId="77777777" w:rsidR="009D777B" w:rsidRPr="00426F74" w:rsidRDefault="009D777B" w:rsidP="00113A12">
            <w:pPr>
              <w:jc w:val="center"/>
              <w:rPr>
                <w:rFonts w:cs="Calibri"/>
              </w:rPr>
            </w:pPr>
            <w:r w:rsidRPr="00426F74">
              <w:rPr>
                <w:rFonts w:cs="Calibri"/>
              </w:rPr>
              <w:t>10,444</w:t>
            </w:r>
          </w:p>
        </w:tc>
        <w:tc>
          <w:tcPr>
            <w:tcW w:w="1536" w:type="dxa"/>
            <w:vAlign w:val="center"/>
          </w:tcPr>
          <w:p w14:paraId="748E266B" w14:textId="77777777" w:rsidR="009D777B" w:rsidRPr="00426F74" w:rsidRDefault="009D777B" w:rsidP="00113A12">
            <w:pPr>
              <w:jc w:val="center"/>
              <w:rPr>
                <w:rFonts w:cs="Calibri"/>
              </w:rPr>
            </w:pPr>
            <w:r w:rsidRPr="00426F74">
              <w:rPr>
                <w:rFonts w:cs="Calibri"/>
              </w:rPr>
              <w:t>269,041</w:t>
            </w:r>
          </w:p>
        </w:tc>
      </w:tr>
      <w:tr w:rsidR="009D777B" w:rsidRPr="00426F74" w14:paraId="13334EA8" w14:textId="77777777" w:rsidTr="00113A12">
        <w:tc>
          <w:tcPr>
            <w:tcW w:w="1535" w:type="dxa"/>
            <w:vAlign w:val="center"/>
          </w:tcPr>
          <w:p w14:paraId="11378146" w14:textId="77777777" w:rsidR="009D777B" w:rsidRPr="00426F74" w:rsidRDefault="009D777B" w:rsidP="00113A12">
            <w:pPr>
              <w:autoSpaceDE w:val="0"/>
              <w:autoSpaceDN w:val="0"/>
              <w:adjustRightInd w:val="0"/>
              <w:jc w:val="center"/>
              <w:rPr>
                <w:rFonts w:cs="Calibri"/>
                <w:b/>
              </w:rPr>
            </w:pPr>
            <w:r w:rsidRPr="00426F74">
              <w:rPr>
                <w:rFonts w:cs="Calibri"/>
                <w:b/>
              </w:rPr>
              <w:t>2012</w:t>
            </w:r>
          </w:p>
        </w:tc>
        <w:tc>
          <w:tcPr>
            <w:tcW w:w="1535" w:type="dxa"/>
            <w:vAlign w:val="center"/>
          </w:tcPr>
          <w:p w14:paraId="196716D3" w14:textId="77777777" w:rsidR="009D777B" w:rsidRPr="00426F74" w:rsidRDefault="009D777B" w:rsidP="00113A12">
            <w:pPr>
              <w:jc w:val="center"/>
              <w:rPr>
                <w:rFonts w:cs="Calibri"/>
              </w:rPr>
            </w:pPr>
            <w:r w:rsidRPr="00426F74">
              <w:rPr>
                <w:rFonts w:cs="Calibri"/>
              </w:rPr>
              <w:t>52,181</w:t>
            </w:r>
          </w:p>
        </w:tc>
        <w:tc>
          <w:tcPr>
            <w:tcW w:w="1535" w:type="dxa"/>
            <w:vAlign w:val="center"/>
          </w:tcPr>
          <w:p w14:paraId="22E35F91" w14:textId="77777777" w:rsidR="009D777B" w:rsidRPr="00426F74" w:rsidRDefault="009D777B" w:rsidP="00113A12">
            <w:pPr>
              <w:jc w:val="center"/>
              <w:rPr>
                <w:rFonts w:cs="Calibri"/>
              </w:rPr>
            </w:pPr>
            <w:r w:rsidRPr="00426F74">
              <w:rPr>
                <w:rFonts w:cs="Calibri"/>
              </w:rPr>
              <w:t>79,673</w:t>
            </w:r>
          </w:p>
        </w:tc>
        <w:tc>
          <w:tcPr>
            <w:tcW w:w="1535" w:type="dxa"/>
            <w:vAlign w:val="center"/>
          </w:tcPr>
          <w:p w14:paraId="07D5F906" w14:textId="77777777" w:rsidR="009D777B" w:rsidRPr="00426F74" w:rsidRDefault="009D777B" w:rsidP="00113A12">
            <w:pPr>
              <w:jc w:val="center"/>
              <w:rPr>
                <w:rFonts w:cs="Calibri"/>
              </w:rPr>
            </w:pPr>
            <w:r w:rsidRPr="00426F74">
              <w:rPr>
                <w:rFonts w:cs="Calibri"/>
              </w:rPr>
              <w:t>53,859</w:t>
            </w:r>
          </w:p>
        </w:tc>
        <w:tc>
          <w:tcPr>
            <w:tcW w:w="1536" w:type="dxa"/>
            <w:vAlign w:val="center"/>
          </w:tcPr>
          <w:p w14:paraId="36BF0943" w14:textId="77777777" w:rsidR="009D777B" w:rsidRPr="00426F74" w:rsidRDefault="009D777B" w:rsidP="00113A12">
            <w:pPr>
              <w:jc w:val="center"/>
              <w:rPr>
                <w:rFonts w:cs="Calibri"/>
              </w:rPr>
            </w:pPr>
            <w:r w:rsidRPr="00426F74">
              <w:rPr>
                <w:rFonts w:cs="Calibri"/>
              </w:rPr>
              <w:t>12,413</w:t>
            </w:r>
          </w:p>
        </w:tc>
        <w:tc>
          <w:tcPr>
            <w:tcW w:w="1536" w:type="dxa"/>
            <w:vAlign w:val="center"/>
          </w:tcPr>
          <w:p w14:paraId="59D31E03" w14:textId="77777777" w:rsidR="009D777B" w:rsidRPr="00426F74" w:rsidRDefault="009D777B" w:rsidP="00113A12">
            <w:pPr>
              <w:jc w:val="center"/>
              <w:rPr>
                <w:rFonts w:cs="Calibri"/>
              </w:rPr>
            </w:pPr>
            <w:r w:rsidRPr="00426F74">
              <w:rPr>
                <w:rFonts w:cs="Calibri"/>
              </w:rPr>
              <w:t>304,256</w:t>
            </w:r>
          </w:p>
        </w:tc>
      </w:tr>
      <w:tr w:rsidR="009D777B" w:rsidRPr="00426F74" w14:paraId="4B82BA8D" w14:textId="77777777" w:rsidTr="00113A12">
        <w:tc>
          <w:tcPr>
            <w:tcW w:w="1535" w:type="dxa"/>
            <w:vAlign w:val="center"/>
          </w:tcPr>
          <w:p w14:paraId="325D3649" w14:textId="77777777" w:rsidR="009D777B" w:rsidRPr="00426F74" w:rsidRDefault="009D777B" w:rsidP="00113A12">
            <w:pPr>
              <w:autoSpaceDE w:val="0"/>
              <w:autoSpaceDN w:val="0"/>
              <w:adjustRightInd w:val="0"/>
              <w:jc w:val="center"/>
              <w:rPr>
                <w:rFonts w:cs="Calibri"/>
                <w:b/>
              </w:rPr>
            </w:pPr>
            <w:r w:rsidRPr="00426F74">
              <w:rPr>
                <w:rFonts w:cs="Calibri"/>
                <w:b/>
              </w:rPr>
              <w:t>2013</w:t>
            </w:r>
          </w:p>
        </w:tc>
        <w:tc>
          <w:tcPr>
            <w:tcW w:w="1535" w:type="dxa"/>
            <w:vAlign w:val="center"/>
          </w:tcPr>
          <w:p w14:paraId="3CF84B49" w14:textId="77777777" w:rsidR="009D777B" w:rsidRPr="00426F74" w:rsidRDefault="009D777B" w:rsidP="00113A12">
            <w:pPr>
              <w:autoSpaceDE w:val="0"/>
              <w:autoSpaceDN w:val="0"/>
              <w:adjustRightInd w:val="0"/>
              <w:jc w:val="center"/>
              <w:rPr>
                <w:rFonts w:cs="Calibri"/>
              </w:rPr>
            </w:pPr>
            <w:r w:rsidRPr="00426F74">
              <w:rPr>
                <w:rFonts w:cs="Calibri"/>
              </w:rPr>
              <w:t>52,857</w:t>
            </w:r>
          </w:p>
        </w:tc>
        <w:tc>
          <w:tcPr>
            <w:tcW w:w="1535" w:type="dxa"/>
            <w:vAlign w:val="center"/>
          </w:tcPr>
          <w:p w14:paraId="1C6D1546" w14:textId="77777777" w:rsidR="009D777B" w:rsidRPr="00426F74" w:rsidRDefault="009D777B" w:rsidP="00113A12">
            <w:pPr>
              <w:autoSpaceDE w:val="0"/>
              <w:autoSpaceDN w:val="0"/>
              <w:adjustRightInd w:val="0"/>
              <w:jc w:val="center"/>
              <w:rPr>
                <w:rFonts w:cs="Calibri"/>
              </w:rPr>
            </w:pPr>
            <w:r w:rsidRPr="00426F74">
              <w:rPr>
                <w:rFonts w:cs="Calibri"/>
              </w:rPr>
              <w:t>83,983</w:t>
            </w:r>
          </w:p>
        </w:tc>
        <w:tc>
          <w:tcPr>
            <w:tcW w:w="1535" w:type="dxa"/>
            <w:vAlign w:val="center"/>
          </w:tcPr>
          <w:p w14:paraId="1FD5EB88" w14:textId="77777777" w:rsidR="009D777B" w:rsidRPr="00426F74" w:rsidRDefault="009D777B" w:rsidP="00113A12">
            <w:pPr>
              <w:autoSpaceDE w:val="0"/>
              <w:autoSpaceDN w:val="0"/>
              <w:adjustRightInd w:val="0"/>
              <w:jc w:val="center"/>
              <w:rPr>
                <w:rFonts w:cs="Calibri"/>
              </w:rPr>
            </w:pPr>
            <w:r w:rsidRPr="00426F74">
              <w:rPr>
                <w:rFonts w:cs="Calibri"/>
              </w:rPr>
              <w:t>57,894</w:t>
            </w:r>
          </w:p>
        </w:tc>
        <w:tc>
          <w:tcPr>
            <w:tcW w:w="1536" w:type="dxa"/>
            <w:vAlign w:val="center"/>
          </w:tcPr>
          <w:p w14:paraId="6CB996B9" w14:textId="77777777" w:rsidR="009D777B" w:rsidRPr="00426F74" w:rsidRDefault="009D777B" w:rsidP="00113A12">
            <w:pPr>
              <w:autoSpaceDE w:val="0"/>
              <w:autoSpaceDN w:val="0"/>
              <w:adjustRightInd w:val="0"/>
              <w:jc w:val="center"/>
              <w:rPr>
                <w:rFonts w:cs="Calibri"/>
              </w:rPr>
            </w:pPr>
            <w:r w:rsidRPr="00426F74">
              <w:rPr>
                <w:rFonts w:cs="Calibri"/>
              </w:rPr>
              <w:t>11,621</w:t>
            </w:r>
          </w:p>
        </w:tc>
        <w:tc>
          <w:tcPr>
            <w:tcW w:w="1536" w:type="dxa"/>
            <w:vAlign w:val="center"/>
          </w:tcPr>
          <w:p w14:paraId="26D81AA4" w14:textId="77777777" w:rsidR="009D777B" w:rsidRPr="00426F74" w:rsidRDefault="009D777B" w:rsidP="00113A12">
            <w:pPr>
              <w:autoSpaceDE w:val="0"/>
              <w:autoSpaceDN w:val="0"/>
              <w:adjustRightInd w:val="0"/>
              <w:jc w:val="center"/>
              <w:rPr>
                <w:rFonts w:cs="Calibri"/>
              </w:rPr>
            </w:pPr>
            <w:r w:rsidRPr="00426F74">
              <w:rPr>
                <w:rFonts w:cs="Calibri"/>
              </w:rPr>
              <w:t>288,970</w:t>
            </w:r>
          </w:p>
        </w:tc>
      </w:tr>
      <w:tr w:rsidR="009D777B" w:rsidRPr="00426F74" w14:paraId="0B9F0764" w14:textId="77777777" w:rsidTr="00113A12">
        <w:tc>
          <w:tcPr>
            <w:tcW w:w="1535" w:type="dxa"/>
            <w:vAlign w:val="center"/>
          </w:tcPr>
          <w:p w14:paraId="713B9D2B" w14:textId="77777777" w:rsidR="009D777B" w:rsidRPr="00426F74" w:rsidRDefault="009D777B" w:rsidP="00113A12">
            <w:pPr>
              <w:autoSpaceDE w:val="0"/>
              <w:autoSpaceDN w:val="0"/>
              <w:adjustRightInd w:val="0"/>
              <w:jc w:val="center"/>
              <w:rPr>
                <w:rFonts w:cs="Calibri"/>
                <w:b/>
              </w:rPr>
            </w:pPr>
            <w:r w:rsidRPr="00426F74">
              <w:rPr>
                <w:rFonts w:cs="Calibri"/>
                <w:b/>
              </w:rPr>
              <w:t>2014</w:t>
            </w:r>
          </w:p>
        </w:tc>
        <w:tc>
          <w:tcPr>
            <w:tcW w:w="1535" w:type="dxa"/>
            <w:vAlign w:val="center"/>
          </w:tcPr>
          <w:p w14:paraId="170974AF" w14:textId="77777777" w:rsidR="009D777B" w:rsidRPr="00426F74" w:rsidRDefault="009D777B" w:rsidP="00113A12">
            <w:pPr>
              <w:autoSpaceDE w:val="0"/>
              <w:autoSpaceDN w:val="0"/>
              <w:adjustRightInd w:val="0"/>
              <w:jc w:val="center"/>
              <w:rPr>
                <w:rFonts w:cs="Calibri"/>
              </w:rPr>
            </w:pPr>
            <w:r w:rsidRPr="00426F74">
              <w:rPr>
                <w:rFonts w:cs="Calibri"/>
              </w:rPr>
              <w:t>74,387</w:t>
            </w:r>
          </w:p>
        </w:tc>
        <w:tc>
          <w:tcPr>
            <w:tcW w:w="1535" w:type="dxa"/>
            <w:vAlign w:val="center"/>
          </w:tcPr>
          <w:p w14:paraId="60CE0D01" w14:textId="77777777" w:rsidR="009D777B" w:rsidRPr="00426F74" w:rsidRDefault="009D777B" w:rsidP="00113A12">
            <w:pPr>
              <w:autoSpaceDE w:val="0"/>
              <w:autoSpaceDN w:val="0"/>
              <w:adjustRightInd w:val="0"/>
              <w:jc w:val="center"/>
              <w:rPr>
                <w:rFonts w:cs="Calibri"/>
              </w:rPr>
            </w:pPr>
            <w:r w:rsidRPr="00426F74">
              <w:rPr>
                <w:rFonts w:cs="Calibri"/>
              </w:rPr>
              <w:t>178,178</w:t>
            </w:r>
          </w:p>
        </w:tc>
        <w:tc>
          <w:tcPr>
            <w:tcW w:w="1535" w:type="dxa"/>
            <w:vAlign w:val="center"/>
          </w:tcPr>
          <w:p w14:paraId="5BD5B860" w14:textId="77777777" w:rsidR="009D777B" w:rsidRPr="00426F74" w:rsidRDefault="009D777B" w:rsidP="00113A12">
            <w:pPr>
              <w:autoSpaceDE w:val="0"/>
              <w:autoSpaceDN w:val="0"/>
              <w:adjustRightInd w:val="0"/>
              <w:jc w:val="center"/>
              <w:rPr>
                <w:rFonts w:cs="Calibri"/>
              </w:rPr>
            </w:pPr>
            <w:r w:rsidRPr="00426F74">
              <w:rPr>
                <w:rFonts w:cs="Calibri"/>
              </w:rPr>
              <w:t>162,084</w:t>
            </w:r>
          </w:p>
        </w:tc>
        <w:tc>
          <w:tcPr>
            <w:tcW w:w="1536" w:type="dxa"/>
            <w:vAlign w:val="center"/>
          </w:tcPr>
          <w:p w14:paraId="310F32FC" w14:textId="77777777" w:rsidR="009D777B" w:rsidRPr="00426F74" w:rsidRDefault="009D777B" w:rsidP="00113A12">
            <w:pPr>
              <w:autoSpaceDE w:val="0"/>
              <w:autoSpaceDN w:val="0"/>
              <w:adjustRightInd w:val="0"/>
              <w:jc w:val="center"/>
              <w:rPr>
                <w:rFonts w:cs="Calibri"/>
              </w:rPr>
            </w:pPr>
            <w:r w:rsidRPr="00426F74">
              <w:rPr>
                <w:rFonts w:cs="Calibri"/>
              </w:rPr>
              <w:t>18,117</w:t>
            </w:r>
          </w:p>
        </w:tc>
        <w:tc>
          <w:tcPr>
            <w:tcW w:w="1536" w:type="dxa"/>
            <w:vAlign w:val="center"/>
          </w:tcPr>
          <w:p w14:paraId="2F23CDE8" w14:textId="77777777" w:rsidR="009D777B" w:rsidRPr="00426F74" w:rsidRDefault="009D777B" w:rsidP="00113A12">
            <w:pPr>
              <w:autoSpaceDE w:val="0"/>
              <w:autoSpaceDN w:val="0"/>
              <w:adjustRightInd w:val="0"/>
              <w:jc w:val="center"/>
              <w:rPr>
                <w:rFonts w:cs="Calibri"/>
              </w:rPr>
            </w:pPr>
            <w:r w:rsidRPr="00426F74">
              <w:rPr>
                <w:rFonts w:cs="Calibri"/>
              </w:rPr>
              <w:t>287,392</w:t>
            </w:r>
          </w:p>
        </w:tc>
      </w:tr>
    </w:tbl>
    <w:p w14:paraId="6EEB2D17" w14:textId="77777777" w:rsidR="009D777B" w:rsidRPr="00426F74" w:rsidRDefault="009D777B" w:rsidP="009D777B">
      <w:pPr>
        <w:jc w:val="left"/>
        <w:rPr>
          <w:sz w:val="20"/>
          <w:szCs w:val="20"/>
        </w:rPr>
      </w:pPr>
      <w:r w:rsidRPr="00426F74">
        <w:rPr>
          <w:sz w:val="20"/>
          <w:szCs w:val="20"/>
        </w:rPr>
        <w:t>Zdroj: NEIS</w:t>
      </w:r>
    </w:p>
    <w:p w14:paraId="5673CC41" w14:textId="77777777" w:rsidR="009D777B" w:rsidRDefault="009D777B" w:rsidP="009B3D82">
      <w:pPr>
        <w:rPr>
          <w:b/>
          <w:bCs/>
          <w:i/>
          <w:iCs/>
        </w:rPr>
      </w:pPr>
    </w:p>
    <w:p w14:paraId="08EB46B7" w14:textId="171DB8B8" w:rsidR="000452BD" w:rsidRDefault="000452BD" w:rsidP="009B3D82">
      <w:pPr>
        <w:rPr>
          <w:b/>
          <w:bCs/>
          <w:i/>
          <w:iCs/>
        </w:rPr>
      </w:pPr>
      <w:r>
        <w:rPr>
          <w:b/>
          <w:bCs/>
          <w:i/>
          <w:iCs/>
        </w:rPr>
        <w:t>Hydrologické pomery</w:t>
      </w:r>
    </w:p>
    <w:p w14:paraId="550961E8" w14:textId="16FF45EB" w:rsidR="000452BD" w:rsidRPr="00426F74" w:rsidRDefault="000452BD" w:rsidP="000452BD">
      <w:r w:rsidRPr="00426F74">
        <w:t xml:space="preserve">Rieka Hron preteká užším okolím posudzovaného územia vo vzdialenosti </w:t>
      </w:r>
      <w:r>
        <w:t>3</w:t>
      </w:r>
      <w:r w:rsidRPr="00426F74">
        <w:t xml:space="preserve">00 m </w:t>
      </w:r>
      <w:r>
        <w:t>juho</w:t>
      </w:r>
      <w:r w:rsidRPr="00426F74">
        <w:t xml:space="preserve">východným smerom. Kvalita vody rieky Hron je v skupine ukazovateľov kyslíkového režimu až po odberové miesto v III. triede čistoty. Čistota vody sa v porovnaní s minulými rokmi zlepšila z triedy čistoty IV. na III. a to v dôsledku zníženia </w:t>
      </w:r>
      <w:proofErr w:type="spellStart"/>
      <w:r w:rsidRPr="00426F74">
        <w:t>CHSKCr</w:t>
      </w:r>
      <w:proofErr w:type="spellEnd"/>
      <w:r w:rsidRPr="00426F74">
        <w:t>. Zlepšenie z </w:t>
      </w:r>
      <w:proofErr w:type="spellStart"/>
      <w:r w:rsidRPr="00426F74">
        <w:t>V.triedy</w:t>
      </w:r>
      <w:proofErr w:type="spellEnd"/>
      <w:r w:rsidRPr="00426F74">
        <w:t xml:space="preserve"> na IV. triedu čistoty nastalo aj v skupine základných chemických ukazovateľov v dôsledku poklesu nerozpustných látok a zvýšený obsah ťažkých kovov zaznamenaný v Žiari nad Hronom a Žarnovici (II. trieda čistoty). Celkový výskyt </w:t>
      </w:r>
      <w:proofErr w:type="spellStart"/>
      <w:r w:rsidRPr="00426F74">
        <w:t>koliformných</w:t>
      </w:r>
      <w:proofErr w:type="spellEnd"/>
      <w:r w:rsidRPr="00426F74">
        <w:t xml:space="preserve"> baktérií udávajú </w:t>
      </w:r>
      <w:proofErr w:type="spellStart"/>
      <w:r w:rsidRPr="00426F74">
        <w:t>V.triedu</w:t>
      </w:r>
      <w:proofErr w:type="spellEnd"/>
      <w:r w:rsidRPr="00426F74">
        <w:t xml:space="preserve"> čistoty a vysoké hodnoty NEL - IV. triedu čistoty toku v oblasti. Kvalita vody je ovplyvňovaná tiež vypúšťaním odpadových vôd z komunálnych ČOV miest Banská Bystrica, Zvolen, Žiar nad Hronom, Žarnovica, či v dolnej časti toku z mesta Levice, keďže ovplyvnenie toku Hron nastáva prostredníctvom prítoku Hrona, ktorým je nutrientami znečistený tok Podlužianka. Z pôvodne väčších </w:t>
      </w:r>
      <w:r>
        <w:t>Priemyselný</w:t>
      </w:r>
      <w:r w:rsidRPr="00426F74">
        <w:t>ch zdrojov znečistenia a postupne ich rozdrobovaním, prípadne zmenou výrobnej činnosti sa stávajú menšie zdroje. Z tých, ktoré pretrvali, je potrebné uviesť tiež ZSNP a.s. Žiar nad Hronom, z ktorého sú odpadové vody do toku Hron vypúšťané dvomi vyústeniami. Výrazným zdrojom znečistenia, ktorý negatívne ovplyvňuje kvalitu vody v hornej, resp. na začiatku strednej časti toku Hron je ČOV a.s. Slovenská Ľupča, z ktorej sú vypúšťané priemyselné odpadové vody z farmaceutického priemyslu. Nedostatočné odstraňovanie dusíkatých zlúčením spôsobuje dlhodobé prekračovanie limitných hodnôt v ukazovateľoch N-NH</w:t>
      </w:r>
      <w:r w:rsidRPr="000452BD">
        <w:rPr>
          <w:vertAlign w:val="subscript"/>
        </w:rPr>
        <w:t>4</w:t>
      </w:r>
      <w:r w:rsidRPr="00426F74">
        <w:t xml:space="preserve"> nielen v bezprostredne </w:t>
      </w:r>
      <w:r w:rsidRPr="00426F74">
        <w:lastRenderedPageBreak/>
        <w:t>monitorovanom miesta Hron – Šalková, ale aj vo vzdialenejšom mieste Hron – Banská Bystrica.</w:t>
      </w:r>
    </w:p>
    <w:p w14:paraId="6A44309A" w14:textId="01DC8BC8" w:rsidR="000452BD" w:rsidRDefault="000452BD" w:rsidP="009B3D82">
      <w:pPr>
        <w:rPr>
          <w:b/>
          <w:bCs/>
          <w:i/>
          <w:iCs/>
        </w:rPr>
      </w:pPr>
      <w:r w:rsidRPr="00426F74">
        <w:t xml:space="preserve">Z hydrogeologického hľadiska sa podzemné vody širšieho okolia posudzovaného územia radia do dvoch hydrologických regiónov – Kvartér nivy Hrona a Slatiny od Slovenskej Ľupče po Tlmače s </w:t>
      </w:r>
      <w:proofErr w:type="spellStart"/>
      <w:r w:rsidRPr="00426F74">
        <w:t>medzizrnovým</w:t>
      </w:r>
      <w:proofErr w:type="spellEnd"/>
      <w:r w:rsidRPr="00426F74">
        <w:t xml:space="preserve"> typom priepustnosti a </w:t>
      </w:r>
      <w:proofErr w:type="spellStart"/>
      <w:r w:rsidRPr="00426F74">
        <w:t>neovulkanity</w:t>
      </w:r>
      <w:proofErr w:type="spellEnd"/>
      <w:r w:rsidRPr="00426F74">
        <w:t xml:space="preserve"> pohoria Vtáčnik a Pohronský Inovec a </w:t>
      </w:r>
      <w:proofErr w:type="spellStart"/>
      <w:r w:rsidRPr="00426F74">
        <w:t>puklinovým</w:t>
      </w:r>
      <w:proofErr w:type="spellEnd"/>
      <w:r w:rsidRPr="00426F74">
        <w:t xml:space="preserve"> typom priepustnosti. Využiteľné zásoby podzemných vôd tohto regiónu sa odhadujú v rozsahu od 0,5 do 1,99 l.s</w:t>
      </w:r>
      <w:r w:rsidRPr="00426F74">
        <w:rPr>
          <w:vertAlign w:val="superscript"/>
        </w:rPr>
        <w:t>-1</w:t>
      </w:r>
      <w:r w:rsidRPr="00426F74">
        <w:t>.km</w:t>
      </w:r>
      <w:r w:rsidRPr="00426F74">
        <w:rPr>
          <w:vertAlign w:val="superscript"/>
        </w:rPr>
        <w:t>-2</w:t>
      </w:r>
      <w:r w:rsidRPr="00426F74">
        <w:t>.</w:t>
      </w:r>
    </w:p>
    <w:p w14:paraId="04EB2BBC" w14:textId="6B52412B" w:rsidR="009D777B" w:rsidRDefault="009D777B" w:rsidP="009B3D82">
      <w:pPr>
        <w:rPr>
          <w:b/>
          <w:bCs/>
          <w:i/>
          <w:iCs/>
        </w:rPr>
      </w:pPr>
    </w:p>
    <w:p w14:paraId="4D9B09A7" w14:textId="240FD3A9" w:rsidR="009D777B" w:rsidRDefault="009D777B" w:rsidP="009B3D82">
      <w:pPr>
        <w:rPr>
          <w:b/>
          <w:bCs/>
          <w:i/>
          <w:iCs/>
        </w:rPr>
      </w:pPr>
      <w:r>
        <w:rPr>
          <w:b/>
          <w:bCs/>
          <w:i/>
          <w:iCs/>
        </w:rPr>
        <w:t>Fauna</w:t>
      </w:r>
    </w:p>
    <w:p w14:paraId="0E0C9C86" w14:textId="77777777" w:rsidR="009D777B" w:rsidRPr="00426F74" w:rsidRDefault="009D777B" w:rsidP="009D777B">
      <w:r w:rsidRPr="00426F74">
        <w:t>Živočíšne spoločenstvá majú charakter západokarpatskej podhorskej a horskej fauny. Faunu v širšom území reprezentujú rôzne živočíšne spoločenstvá. Medzi vtáky, ktoré sa vyskytujú na území patria: jarabica poľná (</w:t>
      </w:r>
      <w:proofErr w:type="spellStart"/>
      <w:r w:rsidRPr="00426F74">
        <w:t>Perdix</w:t>
      </w:r>
      <w:proofErr w:type="spellEnd"/>
      <w:r w:rsidRPr="00426F74">
        <w:t xml:space="preserve"> </w:t>
      </w:r>
      <w:proofErr w:type="spellStart"/>
      <w:r w:rsidRPr="00426F74">
        <w:t>perdix</w:t>
      </w:r>
      <w:proofErr w:type="spellEnd"/>
      <w:r w:rsidRPr="00426F74">
        <w:t>), škovránok poľný (</w:t>
      </w:r>
      <w:proofErr w:type="spellStart"/>
      <w:r w:rsidRPr="00426F74">
        <w:t>Alauda</w:t>
      </w:r>
      <w:proofErr w:type="spellEnd"/>
      <w:r w:rsidRPr="00426F74">
        <w:t xml:space="preserve"> </w:t>
      </w:r>
      <w:proofErr w:type="spellStart"/>
      <w:r w:rsidRPr="00426F74">
        <w:t>arvensis</w:t>
      </w:r>
      <w:proofErr w:type="spellEnd"/>
      <w:r w:rsidRPr="00426F74">
        <w:t>), prepelica poľná (</w:t>
      </w:r>
      <w:proofErr w:type="spellStart"/>
      <w:r w:rsidRPr="00426F74">
        <w:t>Coturnix</w:t>
      </w:r>
      <w:proofErr w:type="spellEnd"/>
      <w:r w:rsidRPr="00426F74">
        <w:t xml:space="preserve"> </w:t>
      </w:r>
      <w:proofErr w:type="spellStart"/>
      <w:r w:rsidRPr="00426F74">
        <w:t>coturnix</w:t>
      </w:r>
      <w:proofErr w:type="spellEnd"/>
      <w:r w:rsidRPr="00426F74">
        <w:t>), bažant poľovný (</w:t>
      </w:r>
      <w:proofErr w:type="spellStart"/>
      <w:r w:rsidRPr="00426F74">
        <w:t>Phasianus</w:t>
      </w:r>
      <w:proofErr w:type="spellEnd"/>
      <w:r w:rsidRPr="00426F74">
        <w:t xml:space="preserve"> </w:t>
      </w:r>
      <w:proofErr w:type="spellStart"/>
      <w:r w:rsidRPr="00426F74">
        <w:t>colchicus</w:t>
      </w:r>
      <w:proofErr w:type="spellEnd"/>
      <w:r w:rsidRPr="00426F74">
        <w:t>), krkavec veľký (</w:t>
      </w:r>
      <w:proofErr w:type="spellStart"/>
      <w:r w:rsidRPr="00426F74">
        <w:t>Corvus</w:t>
      </w:r>
      <w:proofErr w:type="spellEnd"/>
      <w:r w:rsidRPr="00426F74">
        <w:t xml:space="preserve"> </w:t>
      </w:r>
      <w:proofErr w:type="spellStart"/>
      <w:r w:rsidRPr="00426F74">
        <w:t>corax</w:t>
      </w:r>
      <w:proofErr w:type="spellEnd"/>
      <w:r w:rsidRPr="00426F74">
        <w:t>), kavka tmavá (</w:t>
      </w:r>
      <w:proofErr w:type="spellStart"/>
      <w:r w:rsidRPr="00426F74">
        <w:t>Corvus</w:t>
      </w:r>
      <w:proofErr w:type="spellEnd"/>
      <w:r w:rsidRPr="00426F74">
        <w:t xml:space="preserve"> </w:t>
      </w:r>
      <w:proofErr w:type="spellStart"/>
      <w:r w:rsidRPr="00426F74">
        <w:t>monedula</w:t>
      </w:r>
      <w:proofErr w:type="spellEnd"/>
      <w:r w:rsidRPr="00426F74">
        <w:t>), a iné. Z cicavcov sú to hlavne drobné hlodavce ako: hraboš poľný (</w:t>
      </w:r>
      <w:proofErr w:type="spellStart"/>
      <w:r w:rsidRPr="00426F74">
        <w:t>Microtus</w:t>
      </w:r>
      <w:proofErr w:type="spellEnd"/>
      <w:r w:rsidRPr="00426F74">
        <w:t xml:space="preserve"> </w:t>
      </w:r>
      <w:proofErr w:type="spellStart"/>
      <w:r w:rsidRPr="00426F74">
        <w:t>arvalis</w:t>
      </w:r>
      <w:proofErr w:type="spellEnd"/>
      <w:r w:rsidRPr="00426F74">
        <w:t>), zajac poľný (</w:t>
      </w:r>
      <w:proofErr w:type="spellStart"/>
      <w:r w:rsidRPr="00426F74">
        <w:t>Lepus</w:t>
      </w:r>
      <w:proofErr w:type="spellEnd"/>
      <w:r w:rsidRPr="00426F74">
        <w:t xml:space="preserve"> </w:t>
      </w:r>
      <w:proofErr w:type="spellStart"/>
      <w:r w:rsidRPr="00426F74">
        <w:t>europaeus</w:t>
      </w:r>
      <w:proofErr w:type="spellEnd"/>
      <w:r w:rsidRPr="00426F74">
        <w:t>), z vyšších cicavcov diviak lesný (</w:t>
      </w:r>
      <w:proofErr w:type="spellStart"/>
      <w:r w:rsidRPr="00426F74">
        <w:t>Sus</w:t>
      </w:r>
      <w:proofErr w:type="spellEnd"/>
      <w:r w:rsidRPr="00426F74">
        <w:t xml:space="preserve"> </w:t>
      </w:r>
      <w:proofErr w:type="spellStart"/>
      <w:r w:rsidRPr="00426F74">
        <w:t>scrofa</w:t>
      </w:r>
      <w:proofErr w:type="spellEnd"/>
      <w:r w:rsidRPr="00426F74">
        <w:t>), jeleň lesný (</w:t>
      </w:r>
      <w:proofErr w:type="spellStart"/>
      <w:r w:rsidRPr="00426F74">
        <w:t>Cervus</w:t>
      </w:r>
      <w:proofErr w:type="spellEnd"/>
      <w:r w:rsidRPr="00426F74">
        <w:t xml:space="preserve"> </w:t>
      </w:r>
      <w:proofErr w:type="spellStart"/>
      <w:r w:rsidRPr="00426F74">
        <w:t>elaphus</w:t>
      </w:r>
      <w:proofErr w:type="spellEnd"/>
      <w:r w:rsidRPr="00426F74">
        <w:t>) a srnec lesný (</w:t>
      </w:r>
      <w:proofErr w:type="spellStart"/>
      <w:r w:rsidRPr="00426F74">
        <w:t>Capreolus</w:t>
      </w:r>
      <w:proofErr w:type="spellEnd"/>
      <w:r w:rsidRPr="00426F74">
        <w:t xml:space="preserve"> </w:t>
      </w:r>
      <w:proofErr w:type="spellStart"/>
      <w:r w:rsidRPr="00426F74">
        <w:t>capreolus</w:t>
      </w:r>
      <w:proofErr w:type="spellEnd"/>
      <w:r w:rsidRPr="00426F74">
        <w:t xml:space="preserve">), lasica </w:t>
      </w:r>
      <w:proofErr w:type="spellStart"/>
      <w:r w:rsidRPr="00426F74">
        <w:t>myšožravá</w:t>
      </w:r>
      <w:proofErr w:type="spellEnd"/>
      <w:r w:rsidRPr="00426F74">
        <w:t>, (</w:t>
      </w:r>
      <w:proofErr w:type="spellStart"/>
      <w:r w:rsidRPr="00426F74">
        <w:t>Mustela</w:t>
      </w:r>
      <w:proofErr w:type="spellEnd"/>
      <w:r w:rsidRPr="00426F74">
        <w:t xml:space="preserve"> </w:t>
      </w:r>
      <w:proofErr w:type="spellStart"/>
      <w:r w:rsidRPr="00426F74">
        <w:t>nivalis</w:t>
      </w:r>
      <w:proofErr w:type="spellEnd"/>
      <w:r w:rsidRPr="00426F74">
        <w:t>), líška hrdzavá (</w:t>
      </w:r>
      <w:proofErr w:type="spellStart"/>
      <w:r w:rsidRPr="00426F74">
        <w:t>Vulpes</w:t>
      </w:r>
      <w:proofErr w:type="spellEnd"/>
      <w:r w:rsidRPr="00426F74">
        <w:t xml:space="preserve"> </w:t>
      </w:r>
      <w:proofErr w:type="spellStart"/>
      <w:r w:rsidRPr="00426F74">
        <w:t>vulpes</w:t>
      </w:r>
      <w:proofErr w:type="spellEnd"/>
      <w:r w:rsidRPr="00426F74">
        <w:t>). Medzi obojživelníky patri: ropucha obyčajná (</w:t>
      </w:r>
      <w:proofErr w:type="spellStart"/>
      <w:r w:rsidRPr="00426F74">
        <w:t>Bufo</w:t>
      </w:r>
      <w:proofErr w:type="spellEnd"/>
      <w:r w:rsidRPr="00426F74">
        <w:t xml:space="preserve"> </w:t>
      </w:r>
      <w:proofErr w:type="spellStart"/>
      <w:r w:rsidRPr="00426F74">
        <w:t>bufo</w:t>
      </w:r>
      <w:proofErr w:type="spellEnd"/>
      <w:r w:rsidRPr="00426F74">
        <w:t>), ropucha zelená (</w:t>
      </w:r>
      <w:proofErr w:type="spellStart"/>
      <w:r w:rsidRPr="00426F74">
        <w:t>Bufo</w:t>
      </w:r>
      <w:proofErr w:type="spellEnd"/>
      <w:r w:rsidRPr="00426F74">
        <w:t xml:space="preserve"> </w:t>
      </w:r>
      <w:proofErr w:type="spellStart"/>
      <w:r w:rsidRPr="00426F74">
        <w:t>viridis</w:t>
      </w:r>
      <w:proofErr w:type="spellEnd"/>
      <w:r w:rsidRPr="00426F74">
        <w:t>), mlok obyčajný (</w:t>
      </w:r>
      <w:proofErr w:type="spellStart"/>
      <w:r w:rsidRPr="00426F74">
        <w:t>Triturus</w:t>
      </w:r>
      <w:proofErr w:type="spellEnd"/>
      <w:r w:rsidRPr="00426F74">
        <w:t xml:space="preserve"> </w:t>
      </w:r>
      <w:proofErr w:type="spellStart"/>
      <w:r w:rsidRPr="00426F74">
        <w:t>vulgaris</w:t>
      </w:r>
      <w:proofErr w:type="spellEnd"/>
      <w:r w:rsidRPr="00426F74">
        <w:t>), užovka obyčajná (</w:t>
      </w:r>
      <w:proofErr w:type="spellStart"/>
      <w:r w:rsidRPr="00426F74">
        <w:t>Natrix</w:t>
      </w:r>
      <w:proofErr w:type="spellEnd"/>
      <w:r w:rsidRPr="00426F74">
        <w:t xml:space="preserve"> </w:t>
      </w:r>
      <w:proofErr w:type="spellStart"/>
      <w:r w:rsidRPr="00426F74">
        <w:t>natrix</w:t>
      </w:r>
      <w:proofErr w:type="spellEnd"/>
      <w:r w:rsidRPr="00426F74">
        <w:t>) a rôzne druhy hmyzu.</w:t>
      </w:r>
    </w:p>
    <w:p w14:paraId="14DD87A4" w14:textId="77777777" w:rsidR="009D777B" w:rsidRPr="00426F74" w:rsidRDefault="009D777B" w:rsidP="009D777B">
      <w:r w:rsidRPr="00426F74">
        <w:t xml:space="preserve">Druhovo, ako aj početnosťou sú v širšom okolí posudzovaného územia najbohatšie zastúpené vtáky. Významné hniezdiace druhy vtákov nachádzame na biotopoch mokrých lúk, zvyškov močiarov, stojatých a tečúcich vôd. Hniezdne a potravne sa na tento typ biotopu viaže približne 26 druhov. V okolí rieky Hron boli zistené druhy ako potápka </w:t>
      </w:r>
      <w:proofErr w:type="spellStart"/>
      <w:r w:rsidRPr="00426F74">
        <w:t>červenokrká</w:t>
      </w:r>
      <w:proofErr w:type="spellEnd"/>
      <w:r w:rsidRPr="00426F74">
        <w:t xml:space="preserve"> (</w:t>
      </w:r>
      <w:proofErr w:type="spellStart"/>
      <w:r w:rsidRPr="00426F74">
        <w:t>Podicepsgrisegena</w:t>
      </w:r>
      <w:proofErr w:type="spellEnd"/>
      <w:r w:rsidRPr="00426F74">
        <w:t>), kaňa močiarna (</w:t>
      </w:r>
      <w:proofErr w:type="spellStart"/>
      <w:r w:rsidRPr="00426F74">
        <w:t>Circus</w:t>
      </w:r>
      <w:proofErr w:type="spellEnd"/>
      <w:r w:rsidRPr="00426F74">
        <w:t xml:space="preserve"> </w:t>
      </w:r>
      <w:proofErr w:type="spellStart"/>
      <w:r w:rsidRPr="00426F74">
        <w:t>aeruginosus</w:t>
      </w:r>
      <w:proofErr w:type="spellEnd"/>
      <w:r w:rsidRPr="00426F74">
        <w:t>), rybár obyčajný (</w:t>
      </w:r>
      <w:proofErr w:type="spellStart"/>
      <w:r w:rsidRPr="00426F74">
        <w:t>Sternahirundo</w:t>
      </w:r>
      <w:proofErr w:type="spellEnd"/>
      <w:r w:rsidRPr="00426F74">
        <w:t>) a na vysokých porastoch a vysokých stĺpoch bocian biely a čierny (</w:t>
      </w:r>
      <w:proofErr w:type="spellStart"/>
      <w:r w:rsidRPr="00426F74">
        <w:t>Ciconia</w:t>
      </w:r>
      <w:proofErr w:type="spellEnd"/>
      <w:r w:rsidRPr="00426F74">
        <w:t xml:space="preserve"> </w:t>
      </w:r>
      <w:proofErr w:type="spellStart"/>
      <w:r w:rsidRPr="00426F74">
        <w:t>ciconia</w:t>
      </w:r>
      <w:proofErr w:type="spellEnd"/>
      <w:r w:rsidRPr="00426F74">
        <w:t xml:space="preserve">, </w:t>
      </w:r>
      <w:proofErr w:type="spellStart"/>
      <w:r w:rsidRPr="00426F74">
        <w:t>Ciconia</w:t>
      </w:r>
      <w:proofErr w:type="spellEnd"/>
      <w:r w:rsidRPr="00426F74">
        <w:t xml:space="preserve"> </w:t>
      </w:r>
      <w:proofErr w:type="spellStart"/>
      <w:r w:rsidRPr="00426F74">
        <w:t>nigra</w:t>
      </w:r>
      <w:proofErr w:type="spellEnd"/>
      <w:r w:rsidRPr="00426F74">
        <w:t xml:space="preserve">). Toto spoločenstvo vtákov dopĺňajú v trstinách hniezdiace spevavce ako </w:t>
      </w:r>
      <w:proofErr w:type="spellStart"/>
      <w:r w:rsidRPr="00426F74">
        <w:t>svrčiak</w:t>
      </w:r>
      <w:proofErr w:type="spellEnd"/>
      <w:r w:rsidRPr="00426F74">
        <w:t xml:space="preserve"> </w:t>
      </w:r>
      <w:proofErr w:type="spellStart"/>
      <w:r w:rsidRPr="00426F74">
        <w:t>slávikovitý</w:t>
      </w:r>
      <w:proofErr w:type="spellEnd"/>
      <w:r w:rsidRPr="00426F74">
        <w:t xml:space="preserve"> (</w:t>
      </w:r>
      <w:proofErr w:type="spellStart"/>
      <w:r w:rsidRPr="00426F74">
        <w:t>Locustellaluscinoides</w:t>
      </w:r>
      <w:proofErr w:type="spellEnd"/>
      <w:r w:rsidRPr="00426F74">
        <w:t xml:space="preserve">) a </w:t>
      </w:r>
      <w:proofErr w:type="spellStart"/>
      <w:r w:rsidRPr="00426F74">
        <w:t>trsteniarik</w:t>
      </w:r>
      <w:proofErr w:type="spellEnd"/>
      <w:r w:rsidRPr="00426F74">
        <w:t xml:space="preserve"> veľký (</w:t>
      </w:r>
      <w:proofErr w:type="spellStart"/>
      <w:r w:rsidRPr="00426F74">
        <w:t>Acrocephalus</w:t>
      </w:r>
      <w:proofErr w:type="spellEnd"/>
      <w:r w:rsidRPr="00426F74">
        <w:t xml:space="preserve"> </w:t>
      </w:r>
      <w:proofErr w:type="spellStart"/>
      <w:r w:rsidRPr="00426F74">
        <w:t>arundinaceus</w:t>
      </w:r>
      <w:proofErr w:type="spellEnd"/>
      <w:r w:rsidRPr="00426F74">
        <w:t>). Breh rieky ako aj sprievodná zeleň poskytuje hniezdne možnosti takým druhom ako rybárik obyčajný (</w:t>
      </w:r>
      <w:proofErr w:type="spellStart"/>
      <w:r w:rsidRPr="00426F74">
        <w:t>Alcedo</w:t>
      </w:r>
      <w:proofErr w:type="spellEnd"/>
      <w:r w:rsidRPr="00426F74">
        <w:t xml:space="preserve"> </w:t>
      </w:r>
      <w:proofErr w:type="spellStart"/>
      <w:r w:rsidRPr="00426F74">
        <w:t>athis</w:t>
      </w:r>
      <w:proofErr w:type="spellEnd"/>
      <w:r w:rsidRPr="00426F74">
        <w:t>). V brehových porastoch Hronu a jeho mŕtvych ramenách, ako aj v priľahlých častiach lužných lesíkov pravidelne hniezdia jastrab veľký (</w:t>
      </w:r>
      <w:proofErr w:type="spellStart"/>
      <w:r w:rsidRPr="00426F74">
        <w:t>Accipiter</w:t>
      </w:r>
      <w:proofErr w:type="spellEnd"/>
      <w:r w:rsidRPr="00426F74">
        <w:t xml:space="preserve"> </w:t>
      </w:r>
      <w:proofErr w:type="spellStart"/>
      <w:r w:rsidRPr="00426F74">
        <w:t>gentilis</w:t>
      </w:r>
      <w:proofErr w:type="spellEnd"/>
      <w:r w:rsidRPr="00426F74">
        <w:t>), myšiak hôrny (</w:t>
      </w:r>
      <w:proofErr w:type="spellStart"/>
      <w:r w:rsidRPr="00426F74">
        <w:t>Buteo</w:t>
      </w:r>
      <w:proofErr w:type="spellEnd"/>
      <w:r w:rsidRPr="00426F74">
        <w:t xml:space="preserve"> </w:t>
      </w:r>
      <w:proofErr w:type="spellStart"/>
      <w:r w:rsidRPr="00426F74">
        <w:t>buteo</w:t>
      </w:r>
      <w:proofErr w:type="spellEnd"/>
      <w:r w:rsidRPr="00426F74">
        <w:t xml:space="preserve">), holub hrivnák (Columba </w:t>
      </w:r>
      <w:proofErr w:type="spellStart"/>
      <w:r w:rsidRPr="00426F74">
        <w:t>palumbus</w:t>
      </w:r>
      <w:proofErr w:type="spellEnd"/>
      <w:r w:rsidRPr="00426F74">
        <w:t xml:space="preserve">), </w:t>
      </w:r>
      <w:proofErr w:type="spellStart"/>
      <w:r w:rsidRPr="00426F74">
        <w:t>myšiarka</w:t>
      </w:r>
      <w:proofErr w:type="spellEnd"/>
      <w:r w:rsidRPr="00426F74">
        <w:t xml:space="preserve"> ušatá (</w:t>
      </w:r>
      <w:proofErr w:type="spellStart"/>
      <w:r w:rsidRPr="00426F74">
        <w:t>Asio</w:t>
      </w:r>
      <w:proofErr w:type="spellEnd"/>
      <w:r w:rsidRPr="00426F74">
        <w:t xml:space="preserve"> </w:t>
      </w:r>
      <w:proofErr w:type="spellStart"/>
      <w:r w:rsidRPr="00426F74">
        <w:t>otus</w:t>
      </w:r>
      <w:proofErr w:type="spellEnd"/>
      <w:r w:rsidRPr="00426F74">
        <w:t>), sova obyčajná (</w:t>
      </w:r>
      <w:proofErr w:type="spellStart"/>
      <w:r w:rsidRPr="00426F74">
        <w:t>Strix</w:t>
      </w:r>
      <w:proofErr w:type="spellEnd"/>
      <w:r w:rsidRPr="00426F74">
        <w:t xml:space="preserve"> </w:t>
      </w:r>
      <w:proofErr w:type="spellStart"/>
      <w:r w:rsidRPr="00426F74">
        <w:t>aluco</w:t>
      </w:r>
      <w:proofErr w:type="spellEnd"/>
      <w:r w:rsidRPr="00426F74">
        <w:t>), ďateľ veľký (</w:t>
      </w:r>
      <w:proofErr w:type="spellStart"/>
      <w:r w:rsidRPr="00426F74">
        <w:t>Dendrocoposmajor</w:t>
      </w:r>
      <w:proofErr w:type="spellEnd"/>
      <w:r w:rsidRPr="00426F74">
        <w:t>), oriešok obyčajný (</w:t>
      </w:r>
      <w:proofErr w:type="spellStart"/>
      <w:r w:rsidRPr="00426F74">
        <w:t>Troglodytes</w:t>
      </w:r>
      <w:proofErr w:type="spellEnd"/>
      <w:r w:rsidRPr="00426F74">
        <w:t xml:space="preserve"> </w:t>
      </w:r>
      <w:proofErr w:type="spellStart"/>
      <w:r w:rsidRPr="00426F74">
        <w:t>troglodytes</w:t>
      </w:r>
      <w:proofErr w:type="spellEnd"/>
      <w:r w:rsidRPr="00426F74">
        <w:t>), slávik obyčajný (</w:t>
      </w:r>
      <w:proofErr w:type="spellStart"/>
      <w:r w:rsidRPr="00426F74">
        <w:t>Luscinia</w:t>
      </w:r>
      <w:proofErr w:type="spellEnd"/>
      <w:r w:rsidRPr="00426F74">
        <w:t xml:space="preserve"> </w:t>
      </w:r>
      <w:proofErr w:type="spellStart"/>
      <w:r w:rsidRPr="00426F74">
        <w:t>megarhynchos</w:t>
      </w:r>
      <w:proofErr w:type="spellEnd"/>
      <w:r w:rsidRPr="00426F74">
        <w:t>), drozd plavý (</w:t>
      </w:r>
      <w:proofErr w:type="spellStart"/>
      <w:r w:rsidRPr="00426F74">
        <w:t>Turdus</w:t>
      </w:r>
      <w:proofErr w:type="spellEnd"/>
      <w:r w:rsidRPr="00426F74">
        <w:t xml:space="preserve"> </w:t>
      </w:r>
      <w:proofErr w:type="spellStart"/>
      <w:r w:rsidRPr="00426F74">
        <w:t>philomelos</w:t>
      </w:r>
      <w:proofErr w:type="spellEnd"/>
      <w:r w:rsidRPr="00426F74">
        <w:t xml:space="preserve">), drozd </w:t>
      </w:r>
      <w:proofErr w:type="spellStart"/>
      <w:r w:rsidRPr="00426F74">
        <w:t>čvíkotavý</w:t>
      </w:r>
      <w:proofErr w:type="spellEnd"/>
      <w:r w:rsidRPr="00426F74">
        <w:t xml:space="preserve"> (</w:t>
      </w:r>
      <w:proofErr w:type="spellStart"/>
      <w:r w:rsidRPr="00426F74">
        <w:t>Turdus</w:t>
      </w:r>
      <w:proofErr w:type="spellEnd"/>
      <w:r w:rsidRPr="00426F74">
        <w:t xml:space="preserve"> </w:t>
      </w:r>
      <w:proofErr w:type="spellStart"/>
      <w:r w:rsidRPr="00426F74">
        <w:t>pilaris</w:t>
      </w:r>
      <w:proofErr w:type="spellEnd"/>
      <w:r w:rsidRPr="00426F74">
        <w:t>), sýkorka hôrna (</w:t>
      </w:r>
      <w:proofErr w:type="spellStart"/>
      <w:r w:rsidRPr="00426F74">
        <w:t>Parus</w:t>
      </w:r>
      <w:proofErr w:type="spellEnd"/>
      <w:r w:rsidRPr="00426F74">
        <w:t xml:space="preserve"> </w:t>
      </w:r>
      <w:proofErr w:type="spellStart"/>
      <w:r w:rsidRPr="00426F74">
        <w:t>palustris</w:t>
      </w:r>
      <w:proofErr w:type="spellEnd"/>
      <w:r w:rsidRPr="00426F74">
        <w:t>), vlha obyčajná (</w:t>
      </w:r>
      <w:proofErr w:type="spellStart"/>
      <w:r w:rsidRPr="00426F74">
        <w:t>Oriolus</w:t>
      </w:r>
      <w:proofErr w:type="spellEnd"/>
      <w:r w:rsidRPr="00426F74">
        <w:t xml:space="preserve"> </w:t>
      </w:r>
      <w:proofErr w:type="spellStart"/>
      <w:r w:rsidRPr="00426F74">
        <w:t>oriolus</w:t>
      </w:r>
      <w:proofErr w:type="spellEnd"/>
      <w:r w:rsidRPr="00426F74">
        <w:t>), sojka obyčajná (</w:t>
      </w:r>
      <w:proofErr w:type="spellStart"/>
      <w:r w:rsidRPr="00426F74">
        <w:t>Garrulus</w:t>
      </w:r>
      <w:proofErr w:type="spellEnd"/>
      <w:r w:rsidRPr="00426F74">
        <w:t xml:space="preserve"> </w:t>
      </w:r>
      <w:proofErr w:type="spellStart"/>
      <w:r w:rsidRPr="00426F74">
        <w:t>glandarius</w:t>
      </w:r>
      <w:proofErr w:type="spellEnd"/>
      <w:r w:rsidRPr="00426F74">
        <w:t>). Ojedinele hniezdi aj slávik veľký (</w:t>
      </w:r>
      <w:proofErr w:type="spellStart"/>
      <w:r w:rsidRPr="00426F74">
        <w:t>Luscinia</w:t>
      </w:r>
      <w:proofErr w:type="spellEnd"/>
      <w:r w:rsidRPr="00426F74">
        <w:t xml:space="preserve"> </w:t>
      </w:r>
      <w:proofErr w:type="spellStart"/>
      <w:r w:rsidRPr="00426F74">
        <w:t>luscinia</w:t>
      </w:r>
      <w:proofErr w:type="spellEnd"/>
      <w:r w:rsidRPr="00426F74">
        <w:t>), ktorý patrí k silne ubúdajúcim druhom v celoeurópskom meradle, obdobne ako aj dudok obyčajný (</w:t>
      </w:r>
      <w:proofErr w:type="spellStart"/>
      <w:r w:rsidRPr="00426F74">
        <w:t>Upupa</w:t>
      </w:r>
      <w:proofErr w:type="spellEnd"/>
      <w:r w:rsidRPr="00426F74">
        <w:t xml:space="preserve"> </w:t>
      </w:r>
      <w:proofErr w:type="spellStart"/>
      <w:r w:rsidRPr="00426F74">
        <w:t>epops</w:t>
      </w:r>
      <w:proofErr w:type="spellEnd"/>
      <w:r w:rsidRPr="00426F74">
        <w:t>).</w:t>
      </w:r>
    </w:p>
    <w:p w14:paraId="11A95295" w14:textId="77777777" w:rsidR="009D777B" w:rsidRPr="00426F74" w:rsidRDefault="009D777B" w:rsidP="009D777B">
      <w:r w:rsidRPr="00426F74">
        <w:t xml:space="preserve">Posudzované územie je viditeľne poznačené </w:t>
      </w:r>
      <w:proofErr w:type="spellStart"/>
      <w:r w:rsidRPr="00426F74">
        <w:t>antropogénou</w:t>
      </w:r>
      <w:proofErr w:type="spellEnd"/>
      <w:r w:rsidRPr="00426F74">
        <w:t xml:space="preserve"> činnosťou. Vo vzdialenosti približne 500 </w:t>
      </w:r>
      <w:proofErr w:type="spellStart"/>
      <w:r w:rsidRPr="00426F74">
        <w:t>metrovzápadným</w:t>
      </w:r>
      <w:proofErr w:type="spellEnd"/>
      <w:r w:rsidRPr="00426F74">
        <w:t xml:space="preserve"> smerom začína pásmo lesa so svojou typickou lesnou biodiverzitou. Východným smerom preteká vo vzdialenosti cca 400 metrov rieka Hron, ktorá  vytvorila na tomto území vlastné ekosystémy. V týchto ekosystémoch sú zastúpené viaceré druhy obojživelníkov z ktorých je zastúpená napr. ropucha obyčajná (</w:t>
      </w:r>
      <w:proofErr w:type="spellStart"/>
      <w:r w:rsidRPr="00426F74">
        <w:t>Bufo</w:t>
      </w:r>
      <w:proofErr w:type="spellEnd"/>
      <w:r w:rsidRPr="00426F74">
        <w:t xml:space="preserve"> </w:t>
      </w:r>
      <w:proofErr w:type="spellStart"/>
      <w:r w:rsidRPr="00426F74">
        <w:t>bufo</w:t>
      </w:r>
      <w:proofErr w:type="spellEnd"/>
      <w:r w:rsidRPr="00426F74">
        <w:t xml:space="preserve">), </w:t>
      </w:r>
      <w:proofErr w:type="spellStart"/>
      <w:r w:rsidRPr="00426F74">
        <w:t>hrabavka</w:t>
      </w:r>
      <w:proofErr w:type="spellEnd"/>
      <w:r w:rsidRPr="00426F74">
        <w:t xml:space="preserve"> škvrnitá (</w:t>
      </w:r>
      <w:proofErr w:type="spellStart"/>
      <w:r w:rsidRPr="00426F74">
        <w:t>Pelobactes</w:t>
      </w:r>
      <w:proofErr w:type="spellEnd"/>
      <w:r w:rsidRPr="00426F74">
        <w:t xml:space="preserve"> </w:t>
      </w:r>
      <w:proofErr w:type="spellStart"/>
      <w:r w:rsidRPr="00426F74">
        <w:t>fuscus</w:t>
      </w:r>
      <w:proofErr w:type="spellEnd"/>
      <w:r w:rsidRPr="00426F74">
        <w:t>). Plazy zastupuje jašterica obyčajná (</w:t>
      </w:r>
      <w:proofErr w:type="spellStart"/>
      <w:r w:rsidRPr="00426F74">
        <w:t>Lacerna</w:t>
      </w:r>
      <w:proofErr w:type="spellEnd"/>
      <w:r w:rsidRPr="00426F74">
        <w:t xml:space="preserve"> </w:t>
      </w:r>
      <w:proofErr w:type="spellStart"/>
      <w:r w:rsidRPr="00426F74">
        <w:t>agilis</w:t>
      </w:r>
      <w:proofErr w:type="spellEnd"/>
      <w:r w:rsidRPr="00426F74">
        <w:t xml:space="preserve">) a </w:t>
      </w:r>
      <w:proofErr w:type="spellStart"/>
      <w:r w:rsidRPr="00426F74">
        <w:t>úžovka</w:t>
      </w:r>
      <w:proofErr w:type="spellEnd"/>
      <w:r w:rsidRPr="00426F74">
        <w:t xml:space="preserve"> obyčajná (</w:t>
      </w:r>
      <w:proofErr w:type="spellStart"/>
      <w:r w:rsidRPr="00426F74">
        <w:t>Netrix</w:t>
      </w:r>
      <w:proofErr w:type="spellEnd"/>
      <w:r w:rsidRPr="00426F74">
        <w:t xml:space="preserve"> </w:t>
      </w:r>
      <w:proofErr w:type="spellStart"/>
      <w:r w:rsidRPr="00426F74">
        <w:t>natrix</w:t>
      </w:r>
      <w:proofErr w:type="spellEnd"/>
      <w:r w:rsidRPr="00426F74">
        <w:t>).</w:t>
      </w:r>
    </w:p>
    <w:p w14:paraId="0E37CEFE" w14:textId="232C4757" w:rsidR="009D777B" w:rsidRDefault="009D777B" w:rsidP="009B3D82">
      <w:pPr>
        <w:rPr>
          <w:b/>
          <w:bCs/>
          <w:i/>
          <w:iCs/>
        </w:rPr>
      </w:pPr>
    </w:p>
    <w:p w14:paraId="74B98D2C" w14:textId="0D69D683" w:rsidR="007C5303" w:rsidRDefault="007C5303" w:rsidP="009B3D82">
      <w:pPr>
        <w:rPr>
          <w:b/>
          <w:bCs/>
          <w:i/>
          <w:iCs/>
        </w:rPr>
      </w:pPr>
    </w:p>
    <w:p w14:paraId="30570714" w14:textId="15B7598B" w:rsidR="007C5303" w:rsidRDefault="007C5303" w:rsidP="009B3D82">
      <w:pPr>
        <w:rPr>
          <w:b/>
          <w:bCs/>
          <w:i/>
          <w:iCs/>
        </w:rPr>
      </w:pPr>
    </w:p>
    <w:p w14:paraId="35F2E3B7" w14:textId="77777777" w:rsidR="007C5303" w:rsidRDefault="007C5303" w:rsidP="009B3D82">
      <w:pPr>
        <w:rPr>
          <w:b/>
          <w:bCs/>
          <w:i/>
          <w:iCs/>
        </w:rPr>
      </w:pPr>
    </w:p>
    <w:p w14:paraId="360DE453" w14:textId="6595C656" w:rsidR="009D777B" w:rsidRPr="009D777B" w:rsidRDefault="009D777B" w:rsidP="009D777B">
      <w:pPr>
        <w:rPr>
          <w:b/>
          <w:bCs/>
          <w:i/>
          <w:iCs/>
        </w:rPr>
      </w:pPr>
      <w:r>
        <w:rPr>
          <w:b/>
          <w:bCs/>
          <w:i/>
          <w:iCs/>
        </w:rPr>
        <w:lastRenderedPageBreak/>
        <w:t>Flóra</w:t>
      </w:r>
    </w:p>
    <w:p w14:paraId="4DFD10BB" w14:textId="77777777" w:rsidR="009D777B" w:rsidRPr="00426F74" w:rsidRDefault="009D777B" w:rsidP="009D777B">
      <w:r w:rsidRPr="00426F74">
        <w:t xml:space="preserve">Potenciálna prirodzená vegetácia predstavuje prírodnú vegetáciu, ktorá by sa vyvinula za súčasných klimatických, </w:t>
      </w:r>
      <w:proofErr w:type="spellStart"/>
      <w:r w:rsidRPr="00426F74">
        <w:t>edafických</w:t>
      </w:r>
      <w:proofErr w:type="spellEnd"/>
      <w:r w:rsidRPr="00426F74">
        <w:t xml:space="preserve"> a hydrologických podmienok, keby do vývojového procesu nijakým spôsobom nezasahoval človek.</w:t>
      </w:r>
    </w:p>
    <w:p w14:paraId="7423CDAB" w14:textId="77777777" w:rsidR="009D777B" w:rsidRPr="00426F74" w:rsidRDefault="009D777B" w:rsidP="009D777B">
      <w:pPr>
        <w:pStyle w:val="Nadpis5"/>
      </w:pPr>
      <w:r w:rsidRPr="00426F74">
        <w:t>Jaseňovo-brestovo-dubové lesy</w:t>
      </w:r>
    </w:p>
    <w:p w14:paraId="1C962042" w14:textId="77777777" w:rsidR="009D777B" w:rsidRPr="00426F74" w:rsidRDefault="009D777B" w:rsidP="009D777B">
      <w:r w:rsidRPr="00426F74">
        <w:t xml:space="preserve">Jaseňovo-brestovo-dubové lužné lesy (tvrdý lužný les) na vyšších a relatívne suchších stanovištiach údolných nív so zriedkavejšími a časovo kratšími povrchovými záplavami. Pôdy sú od typologicky nevyvinutých nivných a glejových až po hnedé pôdy bohaté na živiny. Krovinové poschodie je dobre vyvinuté a druhovo bohaté, v bylinnej vrstve sú prítomné </w:t>
      </w:r>
      <w:proofErr w:type="spellStart"/>
      <w:r w:rsidRPr="00426F74">
        <w:t>nitrofilné</w:t>
      </w:r>
      <w:proofErr w:type="spellEnd"/>
      <w:r w:rsidRPr="00426F74">
        <w:t xml:space="preserve">, </w:t>
      </w:r>
      <w:proofErr w:type="spellStart"/>
      <w:r w:rsidRPr="00426F74">
        <w:t>mezofilné</w:t>
      </w:r>
      <w:proofErr w:type="spellEnd"/>
      <w:r w:rsidRPr="00426F74">
        <w:t xml:space="preserve"> a </w:t>
      </w:r>
      <w:proofErr w:type="spellStart"/>
      <w:r w:rsidRPr="00426F74">
        <w:t>hygrofilné</w:t>
      </w:r>
      <w:proofErr w:type="spellEnd"/>
      <w:r w:rsidRPr="00426F74">
        <w:t xml:space="preserve"> druhy s výrazným jarným aspektom. Príklad druhového zloženia: Acer </w:t>
      </w:r>
      <w:proofErr w:type="spellStart"/>
      <w:r w:rsidRPr="00426F74">
        <w:t>campestre</w:t>
      </w:r>
      <w:proofErr w:type="spellEnd"/>
      <w:r w:rsidRPr="00426F74">
        <w:t xml:space="preserve">, </w:t>
      </w:r>
      <w:proofErr w:type="spellStart"/>
      <w:r w:rsidRPr="00426F74">
        <w:t>Crataegus</w:t>
      </w:r>
      <w:proofErr w:type="spellEnd"/>
      <w:r w:rsidRPr="00426F74">
        <w:t xml:space="preserve"> </w:t>
      </w:r>
      <w:proofErr w:type="spellStart"/>
      <w:r w:rsidRPr="00426F74">
        <w:t>monogyna</w:t>
      </w:r>
      <w:proofErr w:type="spellEnd"/>
      <w:r w:rsidRPr="00426F74">
        <w:t xml:space="preserve">, </w:t>
      </w:r>
      <w:proofErr w:type="spellStart"/>
      <w:r w:rsidRPr="00426F74">
        <w:t>Fraxinus</w:t>
      </w:r>
      <w:proofErr w:type="spellEnd"/>
      <w:r w:rsidRPr="00426F74">
        <w:t xml:space="preserve"> </w:t>
      </w:r>
      <w:proofErr w:type="spellStart"/>
      <w:r w:rsidRPr="00426F74">
        <w:t>angustifolia</w:t>
      </w:r>
      <w:proofErr w:type="spellEnd"/>
      <w:r w:rsidRPr="00426F74">
        <w:t xml:space="preserve"> </w:t>
      </w:r>
      <w:proofErr w:type="spellStart"/>
      <w:r w:rsidRPr="00426F74">
        <w:t>subsp</w:t>
      </w:r>
      <w:proofErr w:type="spellEnd"/>
      <w:r w:rsidRPr="00426F74">
        <w:t xml:space="preserve">. </w:t>
      </w:r>
      <w:proofErr w:type="spellStart"/>
      <w:r w:rsidRPr="00426F74">
        <w:t>danubialis</w:t>
      </w:r>
      <w:proofErr w:type="spellEnd"/>
      <w:r w:rsidRPr="00426F74">
        <w:t>, F. </w:t>
      </w:r>
      <w:proofErr w:type="spellStart"/>
      <w:r w:rsidRPr="00426F74">
        <w:t>excelsior</w:t>
      </w:r>
      <w:proofErr w:type="spellEnd"/>
      <w:r w:rsidRPr="00426F74">
        <w:t xml:space="preserve">, </w:t>
      </w:r>
      <w:proofErr w:type="spellStart"/>
      <w:r w:rsidRPr="00426F74">
        <w:t>Padus</w:t>
      </w:r>
      <w:proofErr w:type="spellEnd"/>
      <w:r w:rsidRPr="00426F74">
        <w:t xml:space="preserve"> </w:t>
      </w:r>
      <w:proofErr w:type="spellStart"/>
      <w:r w:rsidRPr="00426F74">
        <w:t>avium</w:t>
      </w:r>
      <w:proofErr w:type="spellEnd"/>
      <w:r w:rsidRPr="00426F74">
        <w:t xml:space="preserve">, </w:t>
      </w:r>
      <w:proofErr w:type="spellStart"/>
      <w:r w:rsidRPr="00426F74">
        <w:t>Populus</w:t>
      </w:r>
      <w:proofErr w:type="spellEnd"/>
      <w:r w:rsidRPr="00426F74">
        <w:t xml:space="preserve"> </w:t>
      </w:r>
      <w:proofErr w:type="spellStart"/>
      <w:r w:rsidRPr="00426F74">
        <w:t>nigra</w:t>
      </w:r>
      <w:proofErr w:type="spellEnd"/>
      <w:r w:rsidRPr="00426F74">
        <w:t xml:space="preserve">, </w:t>
      </w:r>
      <w:proofErr w:type="spellStart"/>
      <w:r w:rsidRPr="00426F74">
        <w:t>Quercus</w:t>
      </w:r>
      <w:proofErr w:type="spellEnd"/>
      <w:r w:rsidRPr="00426F74">
        <w:t xml:space="preserve"> </w:t>
      </w:r>
      <w:proofErr w:type="spellStart"/>
      <w:r w:rsidRPr="00426F74">
        <w:t>robur</w:t>
      </w:r>
      <w:proofErr w:type="spellEnd"/>
      <w:r w:rsidRPr="00426F74">
        <w:t xml:space="preserve">, </w:t>
      </w:r>
      <w:proofErr w:type="spellStart"/>
      <w:r w:rsidRPr="00426F74">
        <w:t>Tilia</w:t>
      </w:r>
      <w:proofErr w:type="spellEnd"/>
      <w:r w:rsidRPr="00426F74">
        <w:t xml:space="preserve"> </w:t>
      </w:r>
      <w:proofErr w:type="spellStart"/>
      <w:r w:rsidRPr="00426F74">
        <w:t>cordata</w:t>
      </w:r>
      <w:proofErr w:type="spellEnd"/>
      <w:r w:rsidRPr="00426F74">
        <w:t xml:space="preserve">, </w:t>
      </w:r>
      <w:proofErr w:type="spellStart"/>
      <w:r w:rsidRPr="00426F74">
        <w:t>Ulmus</w:t>
      </w:r>
      <w:proofErr w:type="spellEnd"/>
      <w:r w:rsidRPr="00426F74">
        <w:t xml:space="preserve"> </w:t>
      </w:r>
      <w:proofErr w:type="spellStart"/>
      <w:r w:rsidRPr="00426F74">
        <w:t>laevis</w:t>
      </w:r>
      <w:proofErr w:type="spellEnd"/>
      <w:r w:rsidRPr="00426F74">
        <w:t>, U. </w:t>
      </w:r>
      <w:proofErr w:type="spellStart"/>
      <w:r w:rsidRPr="00426F74">
        <w:t>minor</w:t>
      </w:r>
      <w:proofErr w:type="spellEnd"/>
      <w:r w:rsidRPr="00426F74">
        <w:t xml:space="preserve">. V podraste rastú </w:t>
      </w:r>
      <w:proofErr w:type="spellStart"/>
      <w:r w:rsidRPr="00426F74">
        <w:t>Aegopodium</w:t>
      </w:r>
      <w:proofErr w:type="spellEnd"/>
      <w:r w:rsidRPr="00426F74">
        <w:t xml:space="preserve"> </w:t>
      </w:r>
      <w:proofErr w:type="spellStart"/>
      <w:r w:rsidRPr="00426F74">
        <w:t>podagraria</w:t>
      </w:r>
      <w:proofErr w:type="spellEnd"/>
      <w:r w:rsidRPr="00426F74">
        <w:t xml:space="preserve">, </w:t>
      </w:r>
      <w:proofErr w:type="spellStart"/>
      <w:r w:rsidRPr="00426F74">
        <w:t>Alliaria</w:t>
      </w:r>
      <w:proofErr w:type="spellEnd"/>
      <w:r w:rsidRPr="00426F74">
        <w:t xml:space="preserve"> </w:t>
      </w:r>
      <w:proofErr w:type="spellStart"/>
      <w:r w:rsidRPr="00426F74">
        <w:t>petiolata</w:t>
      </w:r>
      <w:proofErr w:type="spellEnd"/>
      <w:r w:rsidRPr="00426F74">
        <w:t xml:space="preserve">, </w:t>
      </w:r>
      <w:proofErr w:type="spellStart"/>
      <w:r w:rsidRPr="00426F74">
        <w:t>Allium</w:t>
      </w:r>
      <w:proofErr w:type="spellEnd"/>
      <w:r w:rsidRPr="00426F74">
        <w:t xml:space="preserve"> </w:t>
      </w:r>
      <w:proofErr w:type="spellStart"/>
      <w:r w:rsidRPr="00426F74">
        <w:t>ursinum</w:t>
      </w:r>
      <w:proofErr w:type="spellEnd"/>
      <w:r w:rsidRPr="00426F74">
        <w:t xml:space="preserve">, </w:t>
      </w:r>
      <w:proofErr w:type="spellStart"/>
      <w:r w:rsidRPr="00426F74">
        <w:t>Anemone</w:t>
      </w:r>
      <w:proofErr w:type="spellEnd"/>
      <w:r w:rsidRPr="00426F74">
        <w:t xml:space="preserve"> </w:t>
      </w:r>
      <w:proofErr w:type="spellStart"/>
      <w:r w:rsidRPr="00426F74">
        <w:t>ranunculoides</w:t>
      </w:r>
      <w:proofErr w:type="spellEnd"/>
      <w:r w:rsidRPr="00426F74">
        <w:t xml:space="preserve">, </w:t>
      </w:r>
      <w:proofErr w:type="spellStart"/>
      <w:r w:rsidRPr="00426F74">
        <w:t>Campanula</w:t>
      </w:r>
      <w:proofErr w:type="spellEnd"/>
      <w:r w:rsidRPr="00426F74">
        <w:t xml:space="preserve"> </w:t>
      </w:r>
      <w:proofErr w:type="spellStart"/>
      <w:r w:rsidRPr="00426F74">
        <w:t>trachelium</w:t>
      </w:r>
      <w:proofErr w:type="spellEnd"/>
      <w:r w:rsidRPr="00426F74">
        <w:t xml:space="preserve">, </w:t>
      </w:r>
      <w:proofErr w:type="spellStart"/>
      <w:r w:rsidRPr="00426F74">
        <w:t>Clematis</w:t>
      </w:r>
      <w:proofErr w:type="spellEnd"/>
      <w:r w:rsidRPr="00426F74">
        <w:t xml:space="preserve"> </w:t>
      </w:r>
      <w:proofErr w:type="spellStart"/>
      <w:r w:rsidRPr="00426F74">
        <w:t>vitalba</w:t>
      </w:r>
      <w:proofErr w:type="spellEnd"/>
      <w:r w:rsidRPr="00426F74">
        <w:t xml:space="preserve">, </w:t>
      </w:r>
      <w:proofErr w:type="spellStart"/>
      <w:r w:rsidRPr="00426F74">
        <w:t>Corydalis</w:t>
      </w:r>
      <w:proofErr w:type="spellEnd"/>
      <w:r w:rsidRPr="00426F74">
        <w:t xml:space="preserve"> </w:t>
      </w:r>
      <w:proofErr w:type="spellStart"/>
      <w:r w:rsidRPr="00426F74">
        <w:t>cava</w:t>
      </w:r>
      <w:proofErr w:type="spellEnd"/>
      <w:r w:rsidRPr="00426F74">
        <w:t xml:space="preserve">, </w:t>
      </w:r>
      <w:proofErr w:type="spellStart"/>
      <w:r w:rsidRPr="00426F74">
        <w:t>Ficaria</w:t>
      </w:r>
      <w:proofErr w:type="spellEnd"/>
      <w:r w:rsidRPr="00426F74">
        <w:t xml:space="preserve"> </w:t>
      </w:r>
      <w:proofErr w:type="spellStart"/>
      <w:r w:rsidRPr="00426F74">
        <w:t>bulbifera</w:t>
      </w:r>
      <w:proofErr w:type="spellEnd"/>
      <w:r w:rsidRPr="00426F74">
        <w:t xml:space="preserve">, </w:t>
      </w:r>
      <w:proofErr w:type="spellStart"/>
      <w:r w:rsidRPr="00426F74">
        <w:t>Gagea</w:t>
      </w:r>
      <w:proofErr w:type="spellEnd"/>
      <w:r w:rsidRPr="00426F74">
        <w:t xml:space="preserve"> </w:t>
      </w:r>
      <w:proofErr w:type="spellStart"/>
      <w:r w:rsidRPr="00426F74">
        <w:t>lutea</w:t>
      </w:r>
      <w:proofErr w:type="spellEnd"/>
      <w:r w:rsidRPr="00426F74">
        <w:t xml:space="preserve">, </w:t>
      </w:r>
      <w:proofErr w:type="spellStart"/>
      <w:r w:rsidRPr="00426F74">
        <w:t>Galium</w:t>
      </w:r>
      <w:proofErr w:type="spellEnd"/>
      <w:r w:rsidRPr="00426F74">
        <w:t xml:space="preserve"> </w:t>
      </w:r>
      <w:proofErr w:type="spellStart"/>
      <w:r w:rsidRPr="00426F74">
        <w:t>aparine</w:t>
      </w:r>
      <w:proofErr w:type="spellEnd"/>
      <w:r w:rsidRPr="00426F74">
        <w:t xml:space="preserve">, </w:t>
      </w:r>
      <w:proofErr w:type="spellStart"/>
      <w:r w:rsidRPr="00426F74">
        <w:t>Glechoma</w:t>
      </w:r>
      <w:proofErr w:type="spellEnd"/>
      <w:r w:rsidRPr="00426F74">
        <w:t xml:space="preserve"> </w:t>
      </w:r>
      <w:proofErr w:type="spellStart"/>
      <w:r w:rsidRPr="00426F74">
        <w:t>hederacea</w:t>
      </w:r>
      <w:proofErr w:type="spellEnd"/>
      <w:r w:rsidRPr="00426F74">
        <w:t xml:space="preserve">, </w:t>
      </w:r>
      <w:proofErr w:type="spellStart"/>
      <w:r w:rsidRPr="00426F74">
        <w:t>Humulus</w:t>
      </w:r>
      <w:proofErr w:type="spellEnd"/>
      <w:r w:rsidRPr="00426F74">
        <w:t xml:space="preserve"> </w:t>
      </w:r>
      <w:proofErr w:type="spellStart"/>
      <w:r w:rsidRPr="00426F74">
        <w:t>lupulus</w:t>
      </w:r>
      <w:proofErr w:type="spellEnd"/>
      <w:r w:rsidRPr="00426F74">
        <w:t xml:space="preserve">, </w:t>
      </w:r>
      <w:proofErr w:type="spellStart"/>
      <w:r w:rsidRPr="00426F74">
        <w:t>Lamium</w:t>
      </w:r>
      <w:proofErr w:type="spellEnd"/>
      <w:r w:rsidRPr="00426F74">
        <w:t xml:space="preserve"> </w:t>
      </w:r>
      <w:proofErr w:type="spellStart"/>
      <w:r w:rsidRPr="00426F74">
        <w:t>maculatum</w:t>
      </w:r>
      <w:proofErr w:type="spellEnd"/>
      <w:r w:rsidRPr="00426F74">
        <w:t xml:space="preserve">, </w:t>
      </w:r>
      <w:proofErr w:type="spellStart"/>
      <w:r w:rsidRPr="00426F74">
        <w:t>Leucojum</w:t>
      </w:r>
      <w:proofErr w:type="spellEnd"/>
      <w:r w:rsidRPr="00426F74">
        <w:t xml:space="preserve"> </w:t>
      </w:r>
      <w:proofErr w:type="spellStart"/>
      <w:r w:rsidRPr="00426F74">
        <w:t>vernum</w:t>
      </w:r>
      <w:proofErr w:type="spellEnd"/>
      <w:r w:rsidRPr="00426F74">
        <w:t xml:space="preserve"> </w:t>
      </w:r>
      <w:proofErr w:type="spellStart"/>
      <w:r w:rsidRPr="00426F74">
        <w:t>subsp</w:t>
      </w:r>
      <w:proofErr w:type="spellEnd"/>
      <w:r w:rsidRPr="00426F74">
        <w:t xml:space="preserve">. </w:t>
      </w:r>
      <w:proofErr w:type="spellStart"/>
      <w:r w:rsidRPr="00426F74">
        <w:t>carpaticum</w:t>
      </w:r>
      <w:proofErr w:type="spellEnd"/>
      <w:r w:rsidRPr="00426F74">
        <w:t xml:space="preserve"> (endemit) a iné. </w:t>
      </w:r>
    </w:p>
    <w:p w14:paraId="46603AE6" w14:textId="77777777" w:rsidR="009D777B" w:rsidRPr="00426F74" w:rsidRDefault="009D777B" w:rsidP="009D777B">
      <w:pPr>
        <w:ind w:firstLine="708"/>
        <w:rPr>
          <w:b/>
        </w:rPr>
      </w:pPr>
    </w:p>
    <w:p w14:paraId="74C068DC" w14:textId="77777777" w:rsidR="009D777B" w:rsidRPr="00426F74" w:rsidRDefault="009D777B" w:rsidP="009D777B">
      <w:pPr>
        <w:pStyle w:val="Nadpis5"/>
      </w:pPr>
      <w:r w:rsidRPr="00426F74">
        <w:t>Karpatské dubovo-hrabové lesy</w:t>
      </w:r>
    </w:p>
    <w:p w14:paraId="1483C1ED" w14:textId="77777777" w:rsidR="009D777B" w:rsidRPr="00426F74" w:rsidRDefault="009D777B" w:rsidP="009D777B">
      <w:r w:rsidRPr="00426F74">
        <w:t xml:space="preserve">Štruktúru a ekológiu tvoria porasty duba zimného a hrabu, najčastejšie s prímesou buka, menej ďalších drevín na rôznorodých geologický podložiach a hlbších pôdach typu </w:t>
      </w:r>
      <w:proofErr w:type="spellStart"/>
      <w:r w:rsidRPr="00426F74">
        <w:t>kambizemí</w:t>
      </w:r>
      <w:proofErr w:type="spellEnd"/>
      <w:r w:rsidRPr="00426F74">
        <w:t xml:space="preserve"> s dostatkom živín. Podrast má trávnatý charakter, výrazne sa uplatňuje </w:t>
      </w:r>
      <w:proofErr w:type="spellStart"/>
      <w:r w:rsidRPr="00426F74">
        <w:t>Carex</w:t>
      </w:r>
      <w:proofErr w:type="spellEnd"/>
      <w:r w:rsidRPr="00426F74">
        <w:t xml:space="preserve"> </w:t>
      </w:r>
      <w:proofErr w:type="spellStart"/>
      <w:r w:rsidRPr="00426F74">
        <w:t>pilosa</w:t>
      </w:r>
      <w:proofErr w:type="spellEnd"/>
      <w:r w:rsidRPr="00426F74">
        <w:t xml:space="preserve">, prítomné sú </w:t>
      </w:r>
      <w:proofErr w:type="spellStart"/>
      <w:r w:rsidRPr="00426F74">
        <w:t>mezofilné</w:t>
      </w:r>
      <w:proofErr w:type="spellEnd"/>
      <w:r w:rsidRPr="00426F74">
        <w:t xml:space="preserve"> druhy typické pre bučiny, ako aj druhy dubín. Príklad druhového zloženia: Acer </w:t>
      </w:r>
      <w:proofErr w:type="spellStart"/>
      <w:r w:rsidRPr="00426F74">
        <w:t>campestre</w:t>
      </w:r>
      <w:proofErr w:type="spellEnd"/>
      <w:r w:rsidRPr="00426F74">
        <w:t xml:space="preserve">, </w:t>
      </w:r>
      <w:proofErr w:type="spellStart"/>
      <w:r w:rsidRPr="00426F74">
        <w:t>Cerasus</w:t>
      </w:r>
      <w:proofErr w:type="spellEnd"/>
      <w:r w:rsidRPr="00426F74">
        <w:t xml:space="preserve"> </w:t>
      </w:r>
      <w:proofErr w:type="spellStart"/>
      <w:r w:rsidRPr="00426F74">
        <w:t>avium</w:t>
      </w:r>
      <w:proofErr w:type="spellEnd"/>
      <w:r w:rsidRPr="00426F74">
        <w:t xml:space="preserve">, </w:t>
      </w:r>
      <w:proofErr w:type="spellStart"/>
      <w:r w:rsidRPr="00426F74">
        <w:t>Carpinus</w:t>
      </w:r>
      <w:proofErr w:type="spellEnd"/>
      <w:r w:rsidRPr="00426F74">
        <w:t xml:space="preserve"> </w:t>
      </w:r>
      <w:proofErr w:type="spellStart"/>
      <w:r w:rsidRPr="00426F74">
        <w:t>betulus</w:t>
      </w:r>
      <w:proofErr w:type="spellEnd"/>
      <w:r w:rsidRPr="00426F74">
        <w:t xml:space="preserve">, </w:t>
      </w:r>
      <w:proofErr w:type="spellStart"/>
      <w:r w:rsidRPr="00426F74">
        <w:t>Corylus</w:t>
      </w:r>
      <w:proofErr w:type="spellEnd"/>
      <w:r w:rsidRPr="00426F74">
        <w:t xml:space="preserve"> </w:t>
      </w:r>
      <w:proofErr w:type="spellStart"/>
      <w:r w:rsidRPr="00426F74">
        <w:t>avellana</w:t>
      </w:r>
      <w:proofErr w:type="spellEnd"/>
      <w:r w:rsidRPr="00426F74">
        <w:t xml:space="preserve">, </w:t>
      </w:r>
      <w:proofErr w:type="spellStart"/>
      <w:r w:rsidRPr="00426F74">
        <w:t>Fagus</w:t>
      </w:r>
      <w:proofErr w:type="spellEnd"/>
      <w:r w:rsidRPr="00426F74">
        <w:t xml:space="preserve"> </w:t>
      </w:r>
      <w:proofErr w:type="spellStart"/>
      <w:r w:rsidRPr="00426F74">
        <w:t>sylvatica</w:t>
      </w:r>
      <w:proofErr w:type="spellEnd"/>
      <w:r w:rsidRPr="00426F74">
        <w:t xml:space="preserve">, </w:t>
      </w:r>
      <w:proofErr w:type="spellStart"/>
      <w:r w:rsidRPr="00426F74">
        <w:t>Lonicera</w:t>
      </w:r>
      <w:proofErr w:type="spellEnd"/>
      <w:r w:rsidRPr="00426F74">
        <w:t xml:space="preserve"> </w:t>
      </w:r>
      <w:proofErr w:type="spellStart"/>
      <w:r w:rsidRPr="00426F74">
        <w:t>xylosteum</w:t>
      </w:r>
      <w:proofErr w:type="spellEnd"/>
      <w:r w:rsidRPr="00426F74">
        <w:t xml:space="preserve">, </w:t>
      </w:r>
      <w:proofErr w:type="spellStart"/>
      <w:r w:rsidRPr="00426F74">
        <w:t>Quercus</w:t>
      </w:r>
      <w:proofErr w:type="spellEnd"/>
      <w:r w:rsidRPr="00426F74">
        <w:t xml:space="preserve"> </w:t>
      </w:r>
      <w:proofErr w:type="spellStart"/>
      <w:r w:rsidRPr="00426F74">
        <w:t>petraea</w:t>
      </w:r>
      <w:proofErr w:type="spellEnd"/>
      <w:r w:rsidRPr="00426F74">
        <w:t xml:space="preserve"> </w:t>
      </w:r>
      <w:proofErr w:type="spellStart"/>
      <w:r w:rsidRPr="00426F74">
        <w:t>agg</w:t>
      </w:r>
      <w:proofErr w:type="spellEnd"/>
      <w:r w:rsidRPr="00426F74">
        <w:t xml:space="preserve">., </w:t>
      </w:r>
      <w:proofErr w:type="spellStart"/>
      <w:r w:rsidRPr="00426F74">
        <w:t>Swida</w:t>
      </w:r>
      <w:proofErr w:type="spellEnd"/>
      <w:r w:rsidRPr="00426F74">
        <w:t xml:space="preserve"> </w:t>
      </w:r>
      <w:proofErr w:type="spellStart"/>
      <w:r w:rsidRPr="00426F74">
        <w:t>sanguinea</w:t>
      </w:r>
      <w:proofErr w:type="spellEnd"/>
      <w:r w:rsidRPr="00426F74">
        <w:t xml:space="preserve">, </w:t>
      </w:r>
      <w:proofErr w:type="spellStart"/>
      <w:r w:rsidRPr="00426F74">
        <w:t>Tilia</w:t>
      </w:r>
      <w:proofErr w:type="spellEnd"/>
      <w:r w:rsidRPr="00426F74">
        <w:t xml:space="preserve"> </w:t>
      </w:r>
      <w:proofErr w:type="spellStart"/>
      <w:r w:rsidRPr="00426F74">
        <w:t>cordata</w:t>
      </w:r>
      <w:proofErr w:type="spellEnd"/>
      <w:r w:rsidRPr="00426F74">
        <w:t xml:space="preserve">, </w:t>
      </w:r>
      <w:proofErr w:type="spellStart"/>
      <w:r w:rsidRPr="00426F74">
        <w:t>Ajuga</w:t>
      </w:r>
      <w:proofErr w:type="spellEnd"/>
      <w:r w:rsidRPr="00426F74">
        <w:t xml:space="preserve"> </w:t>
      </w:r>
      <w:proofErr w:type="spellStart"/>
      <w:r w:rsidRPr="00426F74">
        <w:t>reptans</w:t>
      </w:r>
      <w:proofErr w:type="spellEnd"/>
      <w:r w:rsidRPr="00426F74">
        <w:t xml:space="preserve">, </w:t>
      </w:r>
      <w:proofErr w:type="spellStart"/>
      <w:r w:rsidRPr="00426F74">
        <w:t>Anemone</w:t>
      </w:r>
      <w:proofErr w:type="spellEnd"/>
      <w:r w:rsidRPr="00426F74">
        <w:t xml:space="preserve"> </w:t>
      </w:r>
      <w:proofErr w:type="spellStart"/>
      <w:r w:rsidRPr="00426F74">
        <w:t>nemorosa</w:t>
      </w:r>
      <w:proofErr w:type="spellEnd"/>
      <w:r w:rsidRPr="00426F74">
        <w:t xml:space="preserve">, </w:t>
      </w:r>
      <w:proofErr w:type="spellStart"/>
      <w:r w:rsidRPr="00426F74">
        <w:t>Campanula</w:t>
      </w:r>
      <w:proofErr w:type="spellEnd"/>
      <w:r w:rsidRPr="00426F74">
        <w:t xml:space="preserve"> </w:t>
      </w:r>
      <w:proofErr w:type="spellStart"/>
      <w:r w:rsidRPr="00426F74">
        <w:t>rapunculoides</w:t>
      </w:r>
      <w:proofErr w:type="spellEnd"/>
      <w:r w:rsidRPr="00426F74">
        <w:t xml:space="preserve">, C. </w:t>
      </w:r>
      <w:proofErr w:type="spellStart"/>
      <w:r w:rsidRPr="00426F74">
        <w:t>trachelium</w:t>
      </w:r>
      <w:proofErr w:type="spellEnd"/>
      <w:r w:rsidRPr="00426F74">
        <w:t xml:space="preserve">, </w:t>
      </w:r>
      <w:proofErr w:type="spellStart"/>
      <w:r w:rsidRPr="00426F74">
        <w:t>Carex</w:t>
      </w:r>
      <w:proofErr w:type="spellEnd"/>
      <w:r w:rsidRPr="00426F74">
        <w:t xml:space="preserve"> </w:t>
      </w:r>
      <w:proofErr w:type="spellStart"/>
      <w:r w:rsidRPr="00426F74">
        <w:t>digitata</w:t>
      </w:r>
      <w:proofErr w:type="spellEnd"/>
      <w:r w:rsidRPr="00426F74">
        <w:t xml:space="preserve">, C. </w:t>
      </w:r>
      <w:proofErr w:type="spellStart"/>
      <w:r w:rsidRPr="00426F74">
        <w:t>pilosa</w:t>
      </w:r>
      <w:proofErr w:type="spellEnd"/>
      <w:r w:rsidRPr="00426F74">
        <w:t xml:space="preserve">, </w:t>
      </w:r>
      <w:proofErr w:type="spellStart"/>
      <w:r w:rsidRPr="00426F74">
        <w:t>Convallaria</w:t>
      </w:r>
      <w:proofErr w:type="spellEnd"/>
      <w:r w:rsidRPr="00426F74">
        <w:t xml:space="preserve"> </w:t>
      </w:r>
      <w:proofErr w:type="spellStart"/>
      <w:r w:rsidRPr="00426F74">
        <w:t>majalis</w:t>
      </w:r>
      <w:proofErr w:type="spellEnd"/>
      <w:r w:rsidRPr="00426F74">
        <w:t xml:space="preserve">, </w:t>
      </w:r>
      <w:proofErr w:type="spellStart"/>
      <w:r w:rsidRPr="00426F74">
        <w:t>Cruciata</w:t>
      </w:r>
      <w:proofErr w:type="spellEnd"/>
      <w:r w:rsidRPr="00426F74">
        <w:t xml:space="preserve"> </w:t>
      </w:r>
      <w:proofErr w:type="spellStart"/>
      <w:r w:rsidRPr="00426F74">
        <w:t>glabra</w:t>
      </w:r>
      <w:proofErr w:type="spellEnd"/>
      <w:r w:rsidRPr="00426F74">
        <w:t xml:space="preserve">, </w:t>
      </w:r>
      <w:proofErr w:type="spellStart"/>
      <w:r w:rsidRPr="00426F74">
        <w:t>Dactylis</w:t>
      </w:r>
      <w:proofErr w:type="spellEnd"/>
      <w:r w:rsidRPr="00426F74">
        <w:t xml:space="preserve"> </w:t>
      </w:r>
      <w:proofErr w:type="spellStart"/>
      <w:r w:rsidRPr="00426F74">
        <w:t>polygama</w:t>
      </w:r>
      <w:proofErr w:type="spellEnd"/>
      <w:r w:rsidRPr="00426F74">
        <w:t xml:space="preserve">, </w:t>
      </w:r>
      <w:proofErr w:type="spellStart"/>
      <w:r w:rsidRPr="00426F74">
        <w:t>Dentaria</w:t>
      </w:r>
      <w:proofErr w:type="spellEnd"/>
      <w:r w:rsidRPr="00426F74">
        <w:t xml:space="preserve"> </w:t>
      </w:r>
      <w:proofErr w:type="spellStart"/>
      <w:r w:rsidRPr="00426F74">
        <w:t>bulbifera</w:t>
      </w:r>
      <w:proofErr w:type="spellEnd"/>
      <w:r w:rsidRPr="00426F74">
        <w:t xml:space="preserve">, </w:t>
      </w:r>
      <w:proofErr w:type="spellStart"/>
      <w:r w:rsidRPr="00426F74">
        <w:t>Festuca</w:t>
      </w:r>
      <w:proofErr w:type="spellEnd"/>
      <w:r w:rsidRPr="00426F74">
        <w:t xml:space="preserve"> </w:t>
      </w:r>
      <w:proofErr w:type="spellStart"/>
      <w:r w:rsidRPr="00426F74">
        <w:t>drymeja</w:t>
      </w:r>
      <w:proofErr w:type="spellEnd"/>
      <w:r w:rsidRPr="00426F74">
        <w:t xml:space="preserve">, F. </w:t>
      </w:r>
      <w:proofErr w:type="spellStart"/>
      <w:r w:rsidRPr="00426F74">
        <w:t>heterophylla</w:t>
      </w:r>
      <w:proofErr w:type="spellEnd"/>
      <w:r w:rsidRPr="00426F74">
        <w:t xml:space="preserve"> a iné. </w:t>
      </w:r>
    </w:p>
    <w:p w14:paraId="1DB35A45" w14:textId="77777777" w:rsidR="009D777B" w:rsidRPr="00426F74" w:rsidRDefault="009D777B" w:rsidP="009D777B">
      <w:pPr>
        <w:ind w:firstLine="708"/>
        <w:rPr>
          <w:b/>
        </w:rPr>
      </w:pPr>
    </w:p>
    <w:p w14:paraId="049AD340" w14:textId="77777777" w:rsidR="009D777B" w:rsidRPr="00426F74" w:rsidRDefault="009D777B" w:rsidP="009D777B">
      <w:pPr>
        <w:pStyle w:val="Nadpis5"/>
      </w:pPr>
      <w:r w:rsidRPr="00426F74">
        <w:t>Bukové jedľovo-bukové lesy</w:t>
      </w:r>
    </w:p>
    <w:p w14:paraId="42A6EAFB" w14:textId="77777777" w:rsidR="009D777B" w:rsidRPr="00426F74" w:rsidRDefault="009D777B" w:rsidP="009D777B">
      <w:r w:rsidRPr="00426F74">
        <w:t xml:space="preserve">Štruktúru a ekológiu týchto lesov tvoria </w:t>
      </w:r>
      <w:proofErr w:type="spellStart"/>
      <w:r w:rsidRPr="00426F74">
        <w:t>mezotrofné</w:t>
      </w:r>
      <w:proofErr w:type="spellEnd"/>
      <w:r w:rsidRPr="00426F74">
        <w:t xml:space="preserve"> a </w:t>
      </w:r>
      <w:proofErr w:type="spellStart"/>
      <w:r w:rsidRPr="00426F74">
        <w:t>eutrofné</w:t>
      </w:r>
      <w:proofErr w:type="spellEnd"/>
      <w:r w:rsidRPr="00426F74">
        <w:t xml:space="preserve"> porasty nezmiešaných bučín a zmiešaných jedľovo-bukových lesov spravidla s bohatým, viacvrstvovým bylinným podrastom tvoreným typickými lesnými </w:t>
      </w:r>
      <w:proofErr w:type="spellStart"/>
      <w:r w:rsidRPr="00426F74">
        <w:t>sciofytmi</w:t>
      </w:r>
      <w:proofErr w:type="spellEnd"/>
      <w:r w:rsidRPr="00426F74">
        <w:t xml:space="preserve"> s vysokými nárokmi na pôdne živiny. Vyskytujú sa na rôznom geologickom podloží, miernejších svahoch s menším sklonom do 20°, na stredne hlbokých až hlbokých, štruktúrnych, trvalo vlhkých pôdach s dobrou </w:t>
      </w:r>
      <w:proofErr w:type="spellStart"/>
      <w:r w:rsidRPr="00426F74">
        <w:t>humifikáciou</w:t>
      </w:r>
      <w:proofErr w:type="spellEnd"/>
      <w:r w:rsidRPr="00426F74">
        <w:t xml:space="preserve"> (mulový </w:t>
      </w:r>
      <w:proofErr w:type="spellStart"/>
      <w:r w:rsidRPr="00426F74">
        <w:t>moder</w:t>
      </w:r>
      <w:proofErr w:type="spellEnd"/>
      <w:r w:rsidRPr="00426F74">
        <w:t xml:space="preserve">), najmä typu </w:t>
      </w:r>
      <w:proofErr w:type="spellStart"/>
      <w:r w:rsidRPr="00426F74">
        <w:t>kambizemí</w:t>
      </w:r>
      <w:proofErr w:type="spellEnd"/>
      <w:r w:rsidRPr="00426F74">
        <w:t xml:space="preserve">. Porasty sú charakteristické vysokým </w:t>
      </w:r>
      <w:proofErr w:type="spellStart"/>
      <w:r w:rsidRPr="00426F74">
        <w:t>zápojom</w:t>
      </w:r>
      <w:proofErr w:type="spellEnd"/>
      <w:r w:rsidRPr="00426F74">
        <w:t xml:space="preserve"> drevín, pri podhorských bučinách s chýbajúcim alebo slabo vyvinutým krovinovým poschodím. Pri hromadení bukového </w:t>
      </w:r>
      <w:proofErr w:type="spellStart"/>
      <w:r w:rsidRPr="00426F74">
        <w:t>opadu</w:t>
      </w:r>
      <w:proofErr w:type="spellEnd"/>
      <w:r w:rsidRPr="00426F74">
        <w:t xml:space="preserve"> je typická nízka </w:t>
      </w:r>
      <w:proofErr w:type="spellStart"/>
      <w:r w:rsidRPr="00426F74">
        <w:t>pokryvnosť</w:t>
      </w:r>
      <w:proofErr w:type="spellEnd"/>
      <w:r w:rsidRPr="00426F74">
        <w:t xml:space="preserve"> bylinnej vrstvy do 15 %. Príklad druhového zloženia: </w:t>
      </w:r>
      <w:proofErr w:type="spellStart"/>
      <w:r w:rsidRPr="00426F74">
        <w:t>Abies</w:t>
      </w:r>
      <w:proofErr w:type="spellEnd"/>
      <w:r w:rsidRPr="00426F74">
        <w:t xml:space="preserve"> </w:t>
      </w:r>
      <w:proofErr w:type="spellStart"/>
      <w:r w:rsidRPr="00426F74">
        <w:t>alba</w:t>
      </w:r>
      <w:proofErr w:type="spellEnd"/>
      <w:r w:rsidRPr="00426F74">
        <w:t xml:space="preserve">, Acer </w:t>
      </w:r>
      <w:proofErr w:type="spellStart"/>
      <w:r w:rsidRPr="00426F74">
        <w:t>pseudoplatanus</w:t>
      </w:r>
      <w:proofErr w:type="spellEnd"/>
      <w:r w:rsidRPr="00426F74">
        <w:t xml:space="preserve">, </w:t>
      </w:r>
      <w:proofErr w:type="spellStart"/>
      <w:r w:rsidRPr="00426F74">
        <w:t>Daphne</w:t>
      </w:r>
      <w:proofErr w:type="spellEnd"/>
      <w:r w:rsidRPr="00426F74">
        <w:t xml:space="preserve"> </w:t>
      </w:r>
      <w:proofErr w:type="spellStart"/>
      <w:r w:rsidRPr="00426F74">
        <w:t>mezereum</w:t>
      </w:r>
      <w:proofErr w:type="spellEnd"/>
      <w:r w:rsidRPr="00426F74">
        <w:t xml:space="preserve">, </w:t>
      </w:r>
      <w:proofErr w:type="spellStart"/>
      <w:r w:rsidRPr="00426F74">
        <w:t>Fagus</w:t>
      </w:r>
      <w:proofErr w:type="spellEnd"/>
      <w:r w:rsidRPr="00426F74">
        <w:t xml:space="preserve"> </w:t>
      </w:r>
      <w:proofErr w:type="spellStart"/>
      <w:r w:rsidRPr="00426F74">
        <w:t>sylvatica</w:t>
      </w:r>
      <w:proofErr w:type="spellEnd"/>
      <w:r w:rsidRPr="00426F74">
        <w:t xml:space="preserve">, </w:t>
      </w:r>
      <w:proofErr w:type="spellStart"/>
      <w:r w:rsidRPr="00426F74">
        <w:t>Lonicera</w:t>
      </w:r>
      <w:proofErr w:type="spellEnd"/>
      <w:r w:rsidRPr="00426F74">
        <w:t xml:space="preserve"> </w:t>
      </w:r>
      <w:proofErr w:type="spellStart"/>
      <w:r w:rsidRPr="00426F74">
        <w:t>xylosteum</w:t>
      </w:r>
      <w:proofErr w:type="spellEnd"/>
      <w:r w:rsidRPr="00426F74">
        <w:t xml:space="preserve">, </w:t>
      </w:r>
      <w:proofErr w:type="spellStart"/>
      <w:r w:rsidRPr="00426F74">
        <w:t>Ribes</w:t>
      </w:r>
      <w:proofErr w:type="spellEnd"/>
      <w:r w:rsidRPr="00426F74">
        <w:t xml:space="preserve"> </w:t>
      </w:r>
      <w:proofErr w:type="spellStart"/>
      <w:r w:rsidRPr="00426F74">
        <w:t>uva-crispa</w:t>
      </w:r>
      <w:proofErr w:type="spellEnd"/>
      <w:r w:rsidRPr="00426F74">
        <w:t xml:space="preserve">, </w:t>
      </w:r>
      <w:proofErr w:type="spellStart"/>
      <w:r w:rsidRPr="00426F74">
        <w:t>Aconitum</w:t>
      </w:r>
      <w:proofErr w:type="spellEnd"/>
      <w:r w:rsidRPr="00426F74">
        <w:t xml:space="preserve"> </w:t>
      </w:r>
      <w:proofErr w:type="spellStart"/>
      <w:r w:rsidRPr="00426F74">
        <w:t>moldavicum</w:t>
      </w:r>
      <w:proofErr w:type="spellEnd"/>
      <w:r w:rsidRPr="00426F74">
        <w:t xml:space="preserve"> (endemit), </w:t>
      </w:r>
      <w:proofErr w:type="spellStart"/>
      <w:r w:rsidRPr="00426F74">
        <w:t>Actaea</w:t>
      </w:r>
      <w:proofErr w:type="spellEnd"/>
      <w:r w:rsidRPr="00426F74">
        <w:t xml:space="preserve"> </w:t>
      </w:r>
      <w:proofErr w:type="spellStart"/>
      <w:r w:rsidRPr="00426F74">
        <w:t>spicata</w:t>
      </w:r>
      <w:proofErr w:type="spellEnd"/>
      <w:r w:rsidRPr="00426F74">
        <w:t xml:space="preserve">, </w:t>
      </w:r>
      <w:proofErr w:type="spellStart"/>
      <w:r w:rsidRPr="00426F74">
        <w:t>Asarum</w:t>
      </w:r>
      <w:proofErr w:type="spellEnd"/>
      <w:r w:rsidRPr="00426F74">
        <w:t xml:space="preserve"> </w:t>
      </w:r>
      <w:proofErr w:type="spellStart"/>
      <w:r w:rsidRPr="00426F74">
        <w:t>europaeum</w:t>
      </w:r>
      <w:proofErr w:type="spellEnd"/>
      <w:r w:rsidRPr="00426F74">
        <w:t xml:space="preserve">, </w:t>
      </w:r>
      <w:proofErr w:type="spellStart"/>
      <w:r w:rsidRPr="00426F74">
        <w:t>Athyrium</w:t>
      </w:r>
      <w:proofErr w:type="spellEnd"/>
      <w:r w:rsidRPr="00426F74">
        <w:t xml:space="preserve"> </w:t>
      </w:r>
      <w:proofErr w:type="spellStart"/>
      <w:r w:rsidRPr="00426F74">
        <w:t>filix-femina</w:t>
      </w:r>
      <w:proofErr w:type="spellEnd"/>
      <w:r w:rsidRPr="00426F74">
        <w:t xml:space="preserve">, </w:t>
      </w:r>
      <w:proofErr w:type="spellStart"/>
      <w:r w:rsidRPr="00426F74">
        <w:t>Bromus</w:t>
      </w:r>
      <w:proofErr w:type="spellEnd"/>
      <w:r w:rsidRPr="00426F74">
        <w:t xml:space="preserve"> </w:t>
      </w:r>
      <w:proofErr w:type="spellStart"/>
      <w:r w:rsidRPr="00426F74">
        <w:t>benekenii</w:t>
      </w:r>
      <w:proofErr w:type="spellEnd"/>
      <w:r w:rsidRPr="00426F74">
        <w:t xml:space="preserve">, </w:t>
      </w:r>
      <w:proofErr w:type="spellStart"/>
      <w:r w:rsidRPr="00426F74">
        <w:t>Carex</w:t>
      </w:r>
      <w:proofErr w:type="spellEnd"/>
      <w:r w:rsidRPr="00426F74">
        <w:t xml:space="preserve"> </w:t>
      </w:r>
      <w:proofErr w:type="spellStart"/>
      <w:r w:rsidRPr="00426F74">
        <w:t>pilosa</w:t>
      </w:r>
      <w:proofErr w:type="spellEnd"/>
      <w:r w:rsidRPr="00426F74">
        <w:t xml:space="preserve">, </w:t>
      </w:r>
      <w:proofErr w:type="spellStart"/>
      <w:r w:rsidRPr="00426F74">
        <w:t>Cyclamen</w:t>
      </w:r>
      <w:proofErr w:type="spellEnd"/>
      <w:r w:rsidRPr="00426F74">
        <w:t xml:space="preserve"> </w:t>
      </w:r>
      <w:proofErr w:type="spellStart"/>
      <w:r w:rsidRPr="00426F74">
        <w:t>fatrense</w:t>
      </w:r>
      <w:proofErr w:type="spellEnd"/>
      <w:r w:rsidRPr="00426F74">
        <w:t xml:space="preserve"> (endemit), </w:t>
      </w:r>
      <w:proofErr w:type="spellStart"/>
      <w:r w:rsidRPr="00426F74">
        <w:t>Dentaria</w:t>
      </w:r>
      <w:proofErr w:type="spellEnd"/>
      <w:r w:rsidRPr="00426F74">
        <w:t xml:space="preserve"> </w:t>
      </w:r>
      <w:proofErr w:type="spellStart"/>
      <w:r w:rsidRPr="00426F74">
        <w:t>bulbifera</w:t>
      </w:r>
      <w:proofErr w:type="spellEnd"/>
      <w:r w:rsidRPr="00426F74">
        <w:t xml:space="preserve">, D. </w:t>
      </w:r>
      <w:proofErr w:type="spellStart"/>
      <w:r w:rsidRPr="00426F74">
        <w:t>enneaphyllos</w:t>
      </w:r>
      <w:proofErr w:type="spellEnd"/>
      <w:r w:rsidRPr="00426F74">
        <w:t xml:space="preserve">, D. </w:t>
      </w:r>
      <w:proofErr w:type="spellStart"/>
      <w:r w:rsidRPr="00426F74">
        <w:t>glandulosa</w:t>
      </w:r>
      <w:proofErr w:type="spellEnd"/>
      <w:r w:rsidRPr="00426F74">
        <w:t xml:space="preserve"> (endemit), </w:t>
      </w:r>
      <w:proofErr w:type="spellStart"/>
      <w:r w:rsidRPr="00426F74">
        <w:t>Dryopteris</w:t>
      </w:r>
      <w:proofErr w:type="spellEnd"/>
      <w:r w:rsidRPr="00426F74">
        <w:t xml:space="preserve"> </w:t>
      </w:r>
      <w:proofErr w:type="spellStart"/>
      <w:r w:rsidRPr="00426F74">
        <w:t>filix-mas</w:t>
      </w:r>
      <w:proofErr w:type="spellEnd"/>
      <w:r w:rsidRPr="00426F74">
        <w:t xml:space="preserve">, </w:t>
      </w:r>
      <w:proofErr w:type="spellStart"/>
      <w:r w:rsidRPr="00426F74">
        <w:t>Festuca</w:t>
      </w:r>
      <w:proofErr w:type="spellEnd"/>
      <w:r w:rsidRPr="00426F74">
        <w:t xml:space="preserve"> </w:t>
      </w:r>
      <w:proofErr w:type="spellStart"/>
      <w:r w:rsidRPr="00426F74">
        <w:t>altissima</w:t>
      </w:r>
      <w:proofErr w:type="spellEnd"/>
      <w:r w:rsidRPr="00426F74">
        <w:t xml:space="preserve"> a iné.</w:t>
      </w:r>
    </w:p>
    <w:p w14:paraId="7D1B157F" w14:textId="4216C27D" w:rsidR="009D777B" w:rsidRPr="007C5303" w:rsidRDefault="009D777B" w:rsidP="009B3D82">
      <w:r w:rsidRPr="00426F74">
        <w:t xml:space="preserve">Posudzované územie a jeho vegetácia je ovplyvnená antropogénnou činnosťou a vyskytujú sa tu prevažne trávnaté porasty a </w:t>
      </w:r>
      <w:proofErr w:type="spellStart"/>
      <w:r w:rsidRPr="00426F74">
        <w:t>ruderálna</w:t>
      </w:r>
      <w:proofErr w:type="spellEnd"/>
      <w:r w:rsidRPr="00426F74">
        <w:t xml:space="preserve"> bylinná vegetácia.</w:t>
      </w:r>
    </w:p>
    <w:p w14:paraId="74B74D05" w14:textId="77777777" w:rsidR="00E65B8B" w:rsidRPr="00F20A98" w:rsidRDefault="003C3F63" w:rsidP="00E65B8B">
      <w:pPr>
        <w:pStyle w:val="Nadpis3"/>
        <w:rPr>
          <w:i w:val="0"/>
        </w:rPr>
      </w:pPr>
      <w:bookmarkStart w:id="28" w:name="_Toc364747865"/>
      <w:bookmarkStart w:id="29" w:name="_Toc31615203"/>
      <w:r w:rsidRPr="00F20A98">
        <w:rPr>
          <w:i w:val="0"/>
        </w:rPr>
        <w:lastRenderedPageBreak/>
        <w:t>Ú</w:t>
      </w:r>
      <w:r w:rsidR="00E65B8B" w:rsidRPr="00F20A98">
        <w:rPr>
          <w:i w:val="0"/>
        </w:rPr>
        <w:t>zemný systém ekologickej stability</w:t>
      </w:r>
      <w:bookmarkEnd w:id="28"/>
      <w:bookmarkEnd w:id="29"/>
      <w:r w:rsidR="00E65B8B" w:rsidRPr="00F20A98">
        <w:rPr>
          <w:i w:val="0"/>
        </w:rPr>
        <w:t xml:space="preserve"> </w:t>
      </w:r>
    </w:p>
    <w:p w14:paraId="3712BA38" w14:textId="77777777" w:rsidR="00F20A98" w:rsidRPr="0090457E" w:rsidRDefault="00F20A98" w:rsidP="00F20A98">
      <w:pPr>
        <w:suppressAutoHyphens/>
        <w:ind w:firstLine="720"/>
      </w:pPr>
      <w:bookmarkStart w:id="30" w:name="_Toc364747866"/>
      <w:r w:rsidRPr="0090457E">
        <w:t>Územný systém ekologickej stability predstavuje takú celopriestorovú štruktúru navzájom prepojených ekosystémov, ich zložiek a prvkov, ktorá zabezpečuje rozmanitosť podmienok a foriem života v krajine a vytvára predpoklady pre trvalé udržateľný rozvoj. Základ tohto systému tvoria biocentrá, biokoridory a interakčné prvky nadregionálneho, regionálneho a miestneho významu. Pre širšie územie boli z pohľadu problematiky územného systému ekologickej stability spracované:</w:t>
      </w:r>
    </w:p>
    <w:p w14:paraId="647EC47E" w14:textId="77777777" w:rsidR="00F20A98" w:rsidRPr="0090457E" w:rsidRDefault="00F20A98" w:rsidP="00F20A98">
      <w:pPr>
        <w:suppressAutoHyphens/>
        <w:rPr>
          <w:lang w:eastAsia="en-US"/>
        </w:rPr>
      </w:pPr>
    </w:p>
    <w:p w14:paraId="6E4500EB" w14:textId="77777777" w:rsidR="00F20A98" w:rsidRPr="0090457E" w:rsidRDefault="00F20A98" w:rsidP="00F20A98">
      <w:pPr>
        <w:numPr>
          <w:ilvl w:val="0"/>
          <w:numId w:val="21"/>
        </w:numPr>
      </w:pPr>
      <w:proofErr w:type="spellStart"/>
      <w:r w:rsidRPr="0090457E">
        <w:t>Generel</w:t>
      </w:r>
      <w:proofErr w:type="spellEnd"/>
      <w:r w:rsidRPr="0090457E">
        <w:t xml:space="preserve"> nadregionálneho územného systému ekologickej stability SR (schválený uznesením vlády SR č. 319/1992, aktualizovaný roku 2000, záväzná časť bola schválená nariadením č 528/2002 Z.z.).</w:t>
      </w:r>
    </w:p>
    <w:p w14:paraId="68412DD5" w14:textId="77777777" w:rsidR="00F20A98" w:rsidRPr="0090457E" w:rsidRDefault="00F20A98" w:rsidP="00F20A98">
      <w:pPr>
        <w:numPr>
          <w:ilvl w:val="0"/>
          <w:numId w:val="21"/>
        </w:numPr>
      </w:pPr>
      <w:r w:rsidRPr="0090457E">
        <w:t>Regionálne ÚSES okresov vypracované v rokoch 1993 – 1995, aktualizované v rokoch 2009 - 2015.</w:t>
      </w:r>
    </w:p>
    <w:p w14:paraId="278824F7" w14:textId="77777777" w:rsidR="00F20A98" w:rsidRPr="0090457E" w:rsidRDefault="00F20A98" w:rsidP="00F20A98">
      <w:pPr>
        <w:ind w:left="720"/>
      </w:pPr>
    </w:p>
    <w:p w14:paraId="2CFED061" w14:textId="77777777" w:rsidR="00F20A98" w:rsidRPr="0090457E" w:rsidRDefault="00F20A98" w:rsidP="00F20A98">
      <w:pPr>
        <w:ind w:firstLine="709"/>
      </w:pPr>
      <w:proofErr w:type="spellStart"/>
      <w:r w:rsidRPr="0090457E">
        <w:t>Celodruhová</w:t>
      </w:r>
      <w:proofErr w:type="spellEnd"/>
      <w:r w:rsidRPr="0090457E">
        <w:t xml:space="preserve"> ochrana prírody je zabezpečovaná na úrovni ekosystémov cez metodický pokyn MŽP č. P-2/93 na vypracovanie dokumentov územného systému ekologickej stability. Týmto metodickým pokynom sa zabezpečuje plnenie uznesení vlády SR ku Koncepcii územného systému ekologickej stability a ku </w:t>
      </w:r>
      <w:proofErr w:type="spellStart"/>
      <w:r w:rsidRPr="0090457E">
        <w:t>Generelu</w:t>
      </w:r>
      <w:proofErr w:type="spellEnd"/>
      <w:r w:rsidRPr="0090457E">
        <w:t xml:space="preserve"> nadregionálneho územného systému ekologickej stability SR (NÚSES). Cieľom územného systému ekologickej stability (ÚSES) je vytvoriť a udržať stabilitu biotických i abiotických systémov krajiny, zachovať rôznorodosť podmienok pre biodiverzitu a genofond rastlinstva a živočíšstva. Dokumenty sa vypracovávajú na rôznych úrovniach – od </w:t>
      </w:r>
      <w:proofErr w:type="spellStart"/>
      <w:r w:rsidRPr="0090457E">
        <w:t>Generelu</w:t>
      </w:r>
      <w:proofErr w:type="spellEnd"/>
      <w:r w:rsidRPr="0090457E">
        <w:t xml:space="preserve"> pre celú SR (NÚSES), cez regióny (RÚSES) až po mestá a obce (MÚSES) v najpodrobnejších mierkach 1 : 5 000 alebo 1 : 10 000. Obsahujú komplexné (textové i mapové) hodnotenie </w:t>
      </w:r>
      <w:proofErr w:type="spellStart"/>
      <w:r w:rsidRPr="0090457E">
        <w:t>biogeografického</w:t>
      </w:r>
      <w:proofErr w:type="spellEnd"/>
      <w:r w:rsidRPr="0090457E">
        <w:t xml:space="preserve"> členenia krajiny, jej ekosystémov a ich ekostabilizačných funkcií. Všetky dokumenty úzko súvisia s územnoplánovacou dokumentáciou na týchto úrovniach, sú k dispozícii u jej obstarávateľa, alebo na územne príslušných úradoch životného prostredia a strediskách štátnej ochrany prírody (</w:t>
      </w:r>
      <w:proofErr w:type="spellStart"/>
      <w:r w:rsidRPr="0090457E">
        <w:t>Bajtoš</w:t>
      </w:r>
      <w:proofErr w:type="spellEnd"/>
      <w:r w:rsidRPr="0090457E">
        <w:t xml:space="preserve"> 2006). V širšom okolí posudzovaného územia sa nachádza niekoľko významných prvkov ÚSES, samotné posudzované územie sa nachádza v subregióne bez územnej ochrany.</w:t>
      </w:r>
    </w:p>
    <w:p w14:paraId="35246B44" w14:textId="77777777" w:rsidR="009D777B" w:rsidRDefault="008816C3" w:rsidP="000B5E59">
      <w:pPr>
        <w:pStyle w:val="Nadpis3"/>
        <w:spacing w:after="240" w:line="240" w:lineRule="auto"/>
        <w:rPr>
          <w:i w:val="0"/>
        </w:rPr>
      </w:pPr>
      <w:bookmarkStart w:id="31" w:name="_Toc31615204"/>
      <w:r w:rsidRPr="00F20A98">
        <w:rPr>
          <w:i w:val="0"/>
        </w:rPr>
        <w:t>Zdravotný stav obyvateľstva a </w:t>
      </w:r>
      <w:r w:rsidR="00E65B8B" w:rsidRPr="00F20A98">
        <w:rPr>
          <w:i w:val="0"/>
        </w:rPr>
        <w:t>celková kvalita životného prostredia pre</w:t>
      </w:r>
      <w:r w:rsidR="00FC0BD9" w:rsidRPr="00F20A98">
        <w:rPr>
          <w:i w:val="0"/>
        </w:rPr>
        <w:t> </w:t>
      </w:r>
      <w:r w:rsidR="00E65B8B" w:rsidRPr="00F20A98">
        <w:rPr>
          <w:i w:val="0"/>
        </w:rPr>
        <w:t>človeka</w:t>
      </w:r>
      <w:bookmarkEnd w:id="30"/>
      <w:bookmarkEnd w:id="31"/>
    </w:p>
    <w:p w14:paraId="5133E220" w14:textId="77777777" w:rsidR="009D777B" w:rsidRPr="00426F74" w:rsidRDefault="009D777B" w:rsidP="009D777B">
      <w:r w:rsidRPr="00426F74">
        <w:t xml:space="preserve">Obyvateľstvo je súhrnom všetkých ľudí na určitom území v určitom čase, zisťovaný podľa bydliska, prítomnosti na danom území alebo podľa iných hľadísk. Počet obyvateľov sa neustále mení v dôsledku jeho prirodzeného pohybu a migrácie; stredný stav obyvateľstva je priemerný počet obyvateľov za určitý časový úsek – v tomto prípade za rok. </w:t>
      </w:r>
    </w:p>
    <w:p w14:paraId="4E76B7F8" w14:textId="0FB576FE" w:rsidR="009D777B" w:rsidRDefault="009D777B" w:rsidP="009D777B">
      <w:r w:rsidRPr="00426F74">
        <w:t>Počet obyvateľov v okrese Žarnovica má stabilnú hodnotu a nie je zaznamenaný výrazný pokles či nárast počtu obyvateľov. Počet obyvateľov od roku 2008 je zaznamenaný v nasledujúcej tabuľke:</w:t>
      </w:r>
    </w:p>
    <w:p w14:paraId="3FA299CF" w14:textId="77777777" w:rsidR="009D777B" w:rsidRPr="00426F74" w:rsidRDefault="009D777B" w:rsidP="009D777B"/>
    <w:p w14:paraId="0378A9B3" w14:textId="7E301B89" w:rsidR="005F29A9" w:rsidRDefault="005F29A9" w:rsidP="007C5303">
      <w:pPr>
        <w:pStyle w:val="Popis"/>
      </w:pPr>
      <w:r>
        <w:t xml:space="preserve">Tab. </w:t>
      </w:r>
      <w:r>
        <w:fldChar w:fldCharType="begin"/>
      </w:r>
      <w:r>
        <w:instrText xml:space="preserve"> SEQ Tab. \* ARABIC </w:instrText>
      </w:r>
      <w:r>
        <w:fldChar w:fldCharType="separate"/>
      </w:r>
      <w:r w:rsidR="00467FCC">
        <w:rPr>
          <w:noProof/>
        </w:rPr>
        <w:t>15</w:t>
      </w:r>
      <w:r>
        <w:fldChar w:fldCharType="end"/>
      </w:r>
      <w:r>
        <w:t xml:space="preserve"> - </w:t>
      </w:r>
      <w:bookmarkStart w:id="32" w:name="_Toc464676844"/>
      <w:r w:rsidRPr="00426F74">
        <w:t>Počet obyvateľov okresu Žarnovica v rokoch (2008 – 201</w:t>
      </w:r>
      <w:r w:rsidR="00141853">
        <w:t>8</w:t>
      </w:r>
      <w:r w:rsidRPr="00426F74">
        <w:t>)</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4"/>
        <w:gridCol w:w="1644"/>
        <w:gridCol w:w="1644"/>
      </w:tblGrid>
      <w:tr w:rsidR="009D777B" w:rsidRPr="00426F74" w14:paraId="09B45B6D" w14:textId="77777777" w:rsidTr="00903882">
        <w:trPr>
          <w:tblHeader/>
          <w:jc w:val="center"/>
        </w:trPr>
        <w:tc>
          <w:tcPr>
            <w:tcW w:w="1644" w:type="dxa"/>
            <w:shd w:val="clear" w:color="auto" w:fill="808080" w:themeFill="background1" w:themeFillShade="80"/>
            <w:vAlign w:val="center"/>
          </w:tcPr>
          <w:p w14:paraId="35B35F3E" w14:textId="77777777" w:rsidR="009D777B" w:rsidRPr="00903882" w:rsidRDefault="009D777B" w:rsidP="00113A12">
            <w:pPr>
              <w:keepNext/>
              <w:jc w:val="center"/>
              <w:rPr>
                <w:b/>
                <w:i/>
                <w:iCs/>
              </w:rPr>
            </w:pPr>
            <w:r w:rsidRPr="00903882">
              <w:rPr>
                <w:b/>
                <w:i/>
                <w:iCs/>
              </w:rPr>
              <w:t>Rok</w:t>
            </w:r>
          </w:p>
        </w:tc>
        <w:tc>
          <w:tcPr>
            <w:tcW w:w="1644" w:type="dxa"/>
            <w:shd w:val="clear" w:color="auto" w:fill="808080" w:themeFill="background1" w:themeFillShade="80"/>
            <w:vAlign w:val="center"/>
          </w:tcPr>
          <w:p w14:paraId="3D599CA6" w14:textId="77777777" w:rsidR="009D777B" w:rsidRPr="00903882" w:rsidRDefault="009D777B" w:rsidP="00113A12">
            <w:pPr>
              <w:jc w:val="center"/>
              <w:rPr>
                <w:b/>
                <w:i/>
                <w:iCs/>
              </w:rPr>
            </w:pPr>
            <w:r w:rsidRPr="00903882">
              <w:rPr>
                <w:b/>
                <w:i/>
                <w:iCs/>
              </w:rPr>
              <w:t>Muži</w:t>
            </w:r>
          </w:p>
        </w:tc>
        <w:tc>
          <w:tcPr>
            <w:tcW w:w="1644" w:type="dxa"/>
            <w:shd w:val="clear" w:color="auto" w:fill="808080" w:themeFill="background1" w:themeFillShade="80"/>
            <w:vAlign w:val="center"/>
          </w:tcPr>
          <w:p w14:paraId="31DB5EF4" w14:textId="77777777" w:rsidR="009D777B" w:rsidRPr="00903882" w:rsidRDefault="009D777B" w:rsidP="00113A12">
            <w:pPr>
              <w:jc w:val="center"/>
              <w:rPr>
                <w:b/>
                <w:i/>
                <w:iCs/>
              </w:rPr>
            </w:pPr>
            <w:r w:rsidRPr="00903882">
              <w:rPr>
                <w:b/>
                <w:i/>
                <w:iCs/>
              </w:rPr>
              <w:t>Ženy</w:t>
            </w:r>
          </w:p>
        </w:tc>
        <w:tc>
          <w:tcPr>
            <w:tcW w:w="1644" w:type="dxa"/>
            <w:shd w:val="clear" w:color="auto" w:fill="808080" w:themeFill="background1" w:themeFillShade="80"/>
            <w:vAlign w:val="center"/>
          </w:tcPr>
          <w:p w14:paraId="47D67787" w14:textId="77777777" w:rsidR="009D777B" w:rsidRPr="00903882" w:rsidRDefault="009D777B" w:rsidP="00113A12">
            <w:pPr>
              <w:jc w:val="center"/>
              <w:rPr>
                <w:b/>
                <w:i/>
                <w:iCs/>
              </w:rPr>
            </w:pPr>
            <w:r w:rsidRPr="00903882">
              <w:rPr>
                <w:b/>
                <w:i/>
                <w:iCs/>
              </w:rPr>
              <w:t>Spolu</w:t>
            </w:r>
          </w:p>
        </w:tc>
      </w:tr>
      <w:tr w:rsidR="009D777B" w:rsidRPr="00426F74" w14:paraId="7F19E090" w14:textId="77777777" w:rsidTr="00113A12">
        <w:trPr>
          <w:jc w:val="center"/>
        </w:trPr>
        <w:tc>
          <w:tcPr>
            <w:tcW w:w="1644" w:type="dxa"/>
            <w:vAlign w:val="center"/>
          </w:tcPr>
          <w:p w14:paraId="67240EDB" w14:textId="77777777" w:rsidR="009D777B" w:rsidRPr="00426F74" w:rsidRDefault="009D777B" w:rsidP="00113A12">
            <w:pPr>
              <w:jc w:val="center"/>
            </w:pPr>
            <w:r w:rsidRPr="00426F74">
              <w:t>2008</w:t>
            </w:r>
          </w:p>
        </w:tc>
        <w:tc>
          <w:tcPr>
            <w:tcW w:w="1644" w:type="dxa"/>
            <w:vAlign w:val="center"/>
          </w:tcPr>
          <w:p w14:paraId="6D5AD27B" w14:textId="77777777" w:rsidR="009D777B" w:rsidRPr="00426F74" w:rsidRDefault="009D777B" w:rsidP="00113A12">
            <w:pPr>
              <w:jc w:val="center"/>
            </w:pPr>
            <w:r w:rsidRPr="00426F74">
              <w:t>13 208</w:t>
            </w:r>
          </w:p>
        </w:tc>
        <w:tc>
          <w:tcPr>
            <w:tcW w:w="1644" w:type="dxa"/>
            <w:vAlign w:val="center"/>
          </w:tcPr>
          <w:p w14:paraId="50499A3D" w14:textId="77777777" w:rsidR="009D777B" w:rsidRPr="00426F74" w:rsidRDefault="009D777B" w:rsidP="00113A12">
            <w:pPr>
              <w:jc w:val="center"/>
            </w:pPr>
            <w:r w:rsidRPr="00426F74">
              <w:t>13 667</w:t>
            </w:r>
          </w:p>
        </w:tc>
        <w:tc>
          <w:tcPr>
            <w:tcW w:w="1644" w:type="dxa"/>
            <w:vAlign w:val="center"/>
          </w:tcPr>
          <w:p w14:paraId="32AF032F" w14:textId="77777777" w:rsidR="009D777B" w:rsidRPr="00426F74" w:rsidRDefault="009D777B" w:rsidP="00113A12">
            <w:pPr>
              <w:jc w:val="center"/>
            </w:pPr>
            <w:r w:rsidRPr="00426F74">
              <w:t>26 875</w:t>
            </w:r>
          </w:p>
        </w:tc>
      </w:tr>
      <w:tr w:rsidR="009D777B" w:rsidRPr="00426F74" w14:paraId="09F4EFFE" w14:textId="77777777" w:rsidTr="00113A12">
        <w:trPr>
          <w:jc w:val="center"/>
        </w:trPr>
        <w:tc>
          <w:tcPr>
            <w:tcW w:w="1644" w:type="dxa"/>
            <w:vAlign w:val="center"/>
          </w:tcPr>
          <w:p w14:paraId="1EC8E0E3" w14:textId="77777777" w:rsidR="009D777B" w:rsidRPr="00426F74" w:rsidRDefault="009D777B" w:rsidP="00113A12">
            <w:pPr>
              <w:jc w:val="center"/>
            </w:pPr>
            <w:r w:rsidRPr="00426F74">
              <w:t>2009</w:t>
            </w:r>
          </w:p>
        </w:tc>
        <w:tc>
          <w:tcPr>
            <w:tcW w:w="1644" w:type="dxa"/>
            <w:vAlign w:val="center"/>
          </w:tcPr>
          <w:p w14:paraId="1B681F96" w14:textId="77777777" w:rsidR="009D777B" w:rsidRPr="00426F74" w:rsidRDefault="009D777B" w:rsidP="00113A12">
            <w:pPr>
              <w:jc w:val="center"/>
            </w:pPr>
            <w:r w:rsidRPr="00426F74">
              <w:t>13 200</w:t>
            </w:r>
          </w:p>
        </w:tc>
        <w:tc>
          <w:tcPr>
            <w:tcW w:w="1644" w:type="dxa"/>
            <w:vAlign w:val="center"/>
          </w:tcPr>
          <w:p w14:paraId="04907D09" w14:textId="77777777" w:rsidR="009D777B" w:rsidRPr="00426F74" w:rsidRDefault="009D777B" w:rsidP="00113A12">
            <w:pPr>
              <w:jc w:val="center"/>
            </w:pPr>
            <w:r w:rsidRPr="00426F74">
              <w:t>13 594</w:t>
            </w:r>
          </w:p>
        </w:tc>
        <w:tc>
          <w:tcPr>
            <w:tcW w:w="1644" w:type="dxa"/>
            <w:vAlign w:val="center"/>
          </w:tcPr>
          <w:p w14:paraId="361976F2" w14:textId="77777777" w:rsidR="009D777B" w:rsidRPr="00426F74" w:rsidRDefault="009D777B" w:rsidP="00113A12">
            <w:pPr>
              <w:jc w:val="center"/>
            </w:pPr>
            <w:r w:rsidRPr="00426F74">
              <w:t>26 794</w:t>
            </w:r>
          </w:p>
        </w:tc>
      </w:tr>
      <w:tr w:rsidR="009D777B" w:rsidRPr="00426F74" w14:paraId="35849A51" w14:textId="77777777" w:rsidTr="00113A12">
        <w:trPr>
          <w:jc w:val="center"/>
        </w:trPr>
        <w:tc>
          <w:tcPr>
            <w:tcW w:w="1644" w:type="dxa"/>
            <w:vAlign w:val="center"/>
          </w:tcPr>
          <w:p w14:paraId="14A7A118" w14:textId="77777777" w:rsidR="009D777B" w:rsidRPr="00426F74" w:rsidRDefault="009D777B" w:rsidP="00113A12">
            <w:pPr>
              <w:jc w:val="center"/>
            </w:pPr>
            <w:r w:rsidRPr="00426F74">
              <w:t>2010</w:t>
            </w:r>
          </w:p>
        </w:tc>
        <w:tc>
          <w:tcPr>
            <w:tcW w:w="1644" w:type="dxa"/>
            <w:vAlign w:val="center"/>
          </w:tcPr>
          <w:p w14:paraId="7DDBC392" w14:textId="77777777" w:rsidR="009D777B" w:rsidRPr="00426F74" w:rsidRDefault="009D777B" w:rsidP="00113A12">
            <w:pPr>
              <w:jc w:val="center"/>
            </w:pPr>
            <w:r w:rsidRPr="00426F74">
              <w:t>13 157</w:t>
            </w:r>
          </w:p>
        </w:tc>
        <w:tc>
          <w:tcPr>
            <w:tcW w:w="1644" w:type="dxa"/>
            <w:vAlign w:val="center"/>
          </w:tcPr>
          <w:p w14:paraId="72EABE88" w14:textId="77777777" w:rsidR="009D777B" w:rsidRPr="00426F74" w:rsidRDefault="009D777B" w:rsidP="00113A12">
            <w:pPr>
              <w:jc w:val="center"/>
            </w:pPr>
            <w:r w:rsidRPr="00426F74">
              <w:t>13 555</w:t>
            </w:r>
          </w:p>
        </w:tc>
        <w:tc>
          <w:tcPr>
            <w:tcW w:w="1644" w:type="dxa"/>
            <w:vAlign w:val="center"/>
          </w:tcPr>
          <w:p w14:paraId="329C6968" w14:textId="77777777" w:rsidR="009D777B" w:rsidRPr="00426F74" w:rsidRDefault="009D777B" w:rsidP="00113A12">
            <w:pPr>
              <w:jc w:val="center"/>
            </w:pPr>
            <w:r w:rsidRPr="00426F74">
              <w:t>26 712</w:t>
            </w:r>
          </w:p>
        </w:tc>
      </w:tr>
      <w:tr w:rsidR="009D777B" w:rsidRPr="00426F74" w14:paraId="27AC2D18" w14:textId="77777777" w:rsidTr="00113A12">
        <w:trPr>
          <w:jc w:val="center"/>
        </w:trPr>
        <w:tc>
          <w:tcPr>
            <w:tcW w:w="1644" w:type="dxa"/>
            <w:vAlign w:val="center"/>
          </w:tcPr>
          <w:p w14:paraId="3B20DF9B" w14:textId="77777777" w:rsidR="009D777B" w:rsidRPr="00426F74" w:rsidRDefault="009D777B" w:rsidP="00113A12">
            <w:pPr>
              <w:jc w:val="center"/>
            </w:pPr>
            <w:r w:rsidRPr="00426F74">
              <w:lastRenderedPageBreak/>
              <w:t>2011</w:t>
            </w:r>
          </w:p>
        </w:tc>
        <w:tc>
          <w:tcPr>
            <w:tcW w:w="1644" w:type="dxa"/>
            <w:vAlign w:val="center"/>
          </w:tcPr>
          <w:p w14:paraId="772F1067" w14:textId="77777777" w:rsidR="009D777B" w:rsidRPr="00426F74" w:rsidRDefault="009D777B" w:rsidP="00113A12">
            <w:pPr>
              <w:jc w:val="center"/>
            </w:pPr>
            <w:r w:rsidRPr="00426F74">
              <w:t>13 339</w:t>
            </w:r>
          </w:p>
        </w:tc>
        <w:tc>
          <w:tcPr>
            <w:tcW w:w="1644" w:type="dxa"/>
            <w:vAlign w:val="center"/>
          </w:tcPr>
          <w:p w14:paraId="63952A1D" w14:textId="77777777" w:rsidR="009D777B" w:rsidRPr="00426F74" w:rsidRDefault="009D777B" w:rsidP="00113A12">
            <w:pPr>
              <w:jc w:val="center"/>
            </w:pPr>
            <w:r w:rsidRPr="00426F74">
              <w:t>13 687</w:t>
            </w:r>
          </w:p>
        </w:tc>
        <w:tc>
          <w:tcPr>
            <w:tcW w:w="1644" w:type="dxa"/>
            <w:vAlign w:val="center"/>
          </w:tcPr>
          <w:p w14:paraId="6C7D8D8C" w14:textId="77777777" w:rsidR="009D777B" w:rsidRPr="00426F74" w:rsidRDefault="009D777B" w:rsidP="00113A12">
            <w:pPr>
              <w:jc w:val="center"/>
            </w:pPr>
            <w:r w:rsidRPr="00426F74">
              <w:t>27 026</w:t>
            </w:r>
          </w:p>
        </w:tc>
      </w:tr>
      <w:tr w:rsidR="009D777B" w:rsidRPr="00426F74" w14:paraId="40FF4842" w14:textId="77777777" w:rsidTr="00113A12">
        <w:trPr>
          <w:jc w:val="center"/>
        </w:trPr>
        <w:tc>
          <w:tcPr>
            <w:tcW w:w="1644" w:type="dxa"/>
            <w:vAlign w:val="center"/>
          </w:tcPr>
          <w:p w14:paraId="134AC7AA" w14:textId="77777777" w:rsidR="009D777B" w:rsidRPr="00426F74" w:rsidRDefault="009D777B" w:rsidP="00113A12">
            <w:pPr>
              <w:jc w:val="center"/>
            </w:pPr>
            <w:r w:rsidRPr="00426F74">
              <w:t>2012</w:t>
            </w:r>
          </w:p>
        </w:tc>
        <w:tc>
          <w:tcPr>
            <w:tcW w:w="1644" w:type="dxa"/>
            <w:vAlign w:val="center"/>
          </w:tcPr>
          <w:p w14:paraId="36DA8559" w14:textId="77777777" w:rsidR="009D777B" w:rsidRPr="00426F74" w:rsidRDefault="009D777B" w:rsidP="00113A12">
            <w:pPr>
              <w:jc w:val="center"/>
            </w:pPr>
            <w:r w:rsidRPr="00426F74">
              <w:t>13 294</w:t>
            </w:r>
          </w:p>
        </w:tc>
        <w:tc>
          <w:tcPr>
            <w:tcW w:w="1644" w:type="dxa"/>
            <w:vAlign w:val="center"/>
          </w:tcPr>
          <w:p w14:paraId="783A70D5" w14:textId="77777777" w:rsidR="009D777B" w:rsidRPr="00426F74" w:rsidRDefault="009D777B" w:rsidP="00113A12">
            <w:pPr>
              <w:jc w:val="center"/>
            </w:pPr>
            <w:r w:rsidRPr="00426F74">
              <w:t>13 621</w:t>
            </w:r>
          </w:p>
        </w:tc>
        <w:tc>
          <w:tcPr>
            <w:tcW w:w="1644" w:type="dxa"/>
            <w:vAlign w:val="center"/>
          </w:tcPr>
          <w:p w14:paraId="7507A2D9" w14:textId="77777777" w:rsidR="009D777B" w:rsidRPr="00426F74" w:rsidRDefault="009D777B" w:rsidP="00113A12">
            <w:pPr>
              <w:jc w:val="center"/>
            </w:pPr>
            <w:r w:rsidRPr="00426F74">
              <w:t>26 915</w:t>
            </w:r>
          </w:p>
        </w:tc>
      </w:tr>
      <w:tr w:rsidR="009D777B" w:rsidRPr="00426F74" w14:paraId="01E0F027" w14:textId="77777777" w:rsidTr="00113A12">
        <w:trPr>
          <w:jc w:val="center"/>
        </w:trPr>
        <w:tc>
          <w:tcPr>
            <w:tcW w:w="1644" w:type="dxa"/>
            <w:vAlign w:val="center"/>
          </w:tcPr>
          <w:p w14:paraId="1C83D555" w14:textId="77777777" w:rsidR="009D777B" w:rsidRPr="00426F74" w:rsidRDefault="009D777B" w:rsidP="00113A12">
            <w:pPr>
              <w:jc w:val="center"/>
            </w:pPr>
            <w:r w:rsidRPr="00426F74">
              <w:t>2013</w:t>
            </w:r>
          </w:p>
        </w:tc>
        <w:tc>
          <w:tcPr>
            <w:tcW w:w="1644" w:type="dxa"/>
            <w:vAlign w:val="center"/>
          </w:tcPr>
          <w:p w14:paraId="089BF10E" w14:textId="77777777" w:rsidR="009D777B" w:rsidRPr="00426F74" w:rsidRDefault="009D777B" w:rsidP="00113A12">
            <w:pPr>
              <w:jc w:val="center"/>
            </w:pPr>
            <w:r w:rsidRPr="00426F74">
              <w:t>13 248</w:t>
            </w:r>
          </w:p>
        </w:tc>
        <w:tc>
          <w:tcPr>
            <w:tcW w:w="1644" w:type="dxa"/>
            <w:vAlign w:val="center"/>
          </w:tcPr>
          <w:p w14:paraId="617B4B06" w14:textId="77777777" w:rsidR="009D777B" w:rsidRPr="00426F74" w:rsidRDefault="009D777B" w:rsidP="00113A12">
            <w:pPr>
              <w:jc w:val="center"/>
            </w:pPr>
            <w:r w:rsidRPr="00426F74">
              <w:t>13 557</w:t>
            </w:r>
          </w:p>
        </w:tc>
        <w:tc>
          <w:tcPr>
            <w:tcW w:w="1644" w:type="dxa"/>
            <w:vAlign w:val="center"/>
          </w:tcPr>
          <w:p w14:paraId="51FA1413" w14:textId="77777777" w:rsidR="009D777B" w:rsidRPr="00426F74" w:rsidRDefault="009D777B" w:rsidP="00113A12">
            <w:pPr>
              <w:jc w:val="center"/>
            </w:pPr>
            <w:r w:rsidRPr="00426F74">
              <w:t>26 805</w:t>
            </w:r>
          </w:p>
        </w:tc>
      </w:tr>
      <w:tr w:rsidR="009D777B" w:rsidRPr="00426F74" w14:paraId="1E41E792" w14:textId="77777777" w:rsidTr="00113A12">
        <w:trPr>
          <w:jc w:val="center"/>
        </w:trPr>
        <w:tc>
          <w:tcPr>
            <w:tcW w:w="1644" w:type="dxa"/>
            <w:vAlign w:val="center"/>
          </w:tcPr>
          <w:p w14:paraId="2D69B414" w14:textId="77777777" w:rsidR="009D777B" w:rsidRPr="00426F74" w:rsidRDefault="009D777B" w:rsidP="00113A12">
            <w:pPr>
              <w:jc w:val="center"/>
            </w:pPr>
            <w:r w:rsidRPr="00426F74">
              <w:t>2014</w:t>
            </w:r>
          </w:p>
        </w:tc>
        <w:tc>
          <w:tcPr>
            <w:tcW w:w="1644" w:type="dxa"/>
            <w:vAlign w:val="center"/>
          </w:tcPr>
          <w:p w14:paraId="4B2E27AD" w14:textId="77777777" w:rsidR="009D777B" w:rsidRPr="00426F74" w:rsidRDefault="009D777B" w:rsidP="00113A12">
            <w:pPr>
              <w:jc w:val="center"/>
            </w:pPr>
            <w:r w:rsidRPr="00426F74">
              <w:t>13 219</w:t>
            </w:r>
          </w:p>
        </w:tc>
        <w:tc>
          <w:tcPr>
            <w:tcW w:w="1644" w:type="dxa"/>
            <w:vAlign w:val="center"/>
          </w:tcPr>
          <w:p w14:paraId="44B50278" w14:textId="77777777" w:rsidR="009D777B" w:rsidRPr="00426F74" w:rsidRDefault="009D777B" w:rsidP="00113A12">
            <w:pPr>
              <w:jc w:val="center"/>
            </w:pPr>
            <w:r w:rsidRPr="00426F74">
              <w:t>13 513</w:t>
            </w:r>
          </w:p>
        </w:tc>
        <w:tc>
          <w:tcPr>
            <w:tcW w:w="1644" w:type="dxa"/>
            <w:vAlign w:val="center"/>
          </w:tcPr>
          <w:p w14:paraId="6F2CA1A3" w14:textId="77777777" w:rsidR="009D777B" w:rsidRPr="00426F74" w:rsidRDefault="009D777B" w:rsidP="00113A12">
            <w:pPr>
              <w:jc w:val="center"/>
            </w:pPr>
            <w:r w:rsidRPr="00426F74">
              <w:t>26 732</w:t>
            </w:r>
          </w:p>
        </w:tc>
      </w:tr>
      <w:tr w:rsidR="00141853" w:rsidRPr="00426F74" w14:paraId="552602EB" w14:textId="77777777" w:rsidTr="00113A12">
        <w:trPr>
          <w:jc w:val="center"/>
        </w:trPr>
        <w:tc>
          <w:tcPr>
            <w:tcW w:w="1644" w:type="dxa"/>
            <w:vAlign w:val="center"/>
          </w:tcPr>
          <w:p w14:paraId="3CAD068A" w14:textId="404F48A4" w:rsidR="00141853" w:rsidRPr="00426F74" w:rsidRDefault="00141853" w:rsidP="00113A12">
            <w:pPr>
              <w:jc w:val="center"/>
            </w:pPr>
            <w:r>
              <w:t>2015</w:t>
            </w:r>
          </w:p>
        </w:tc>
        <w:tc>
          <w:tcPr>
            <w:tcW w:w="1644" w:type="dxa"/>
            <w:vAlign w:val="center"/>
          </w:tcPr>
          <w:p w14:paraId="54E0C256" w14:textId="215546CF" w:rsidR="00141853" w:rsidRPr="00426F74" w:rsidRDefault="00141853" w:rsidP="00113A12">
            <w:pPr>
              <w:jc w:val="center"/>
            </w:pPr>
            <w:r>
              <w:t>13 219</w:t>
            </w:r>
          </w:p>
        </w:tc>
        <w:tc>
          <w:tcPr>
            <w:tcW w:w="1644" w:type="dxa"/>
            <w:vAlign w:val="center"/>
          </w:tcPr>
          <w:p w14:paraId="4D8C2DCA" w14:textId="73A2D9AD" w:rsidR="00141853" w:rsidRPr="00426F74" w:rsidRDefault="00141853" w:rsidP="00113A12">
            <w:pPr>
              <w:jc w:val="center"/>
            </w:pPr>
            <w:r>
              <w:t>13 513</w:t>
            </w:r>
          </w:p>
        </w:tc>
        <w:tc>
          <w:tcPr>
            <w:tcW w:w="1644" w:type="dxa"/>
            <w:vAlign w:val="center"/>
          </w:tcPr>
          <w:p w14:paraId="15C58257" w14:textId="6FC9FFAD" w:rsidR="00141853" w:rsidRPr="00426F74" w:rsidRDefault="00141853" w:rsidP="00113A12">
            <w:pPr>
              <w:jc w:val="center"/>
            </w:pPr>
            <w:r>
              <w:t>26 732</w:t>
            </w:r>
          </w:p>
        </w:tc>
      </w:tr>
      <w:tr w:rsidR="00141853" w:rsidRPr="00426F74" w14:paraId="08ABA50C" w14:textId="77777777" w:rsidTr="00113A12">
        <w:trPr>
          <w:jc w:val="center"/>
        </w:trPr>
        <w:tc>
          <w:tcPr>
            <w:tcW w:w="1644" w:type="dxa"/>
            <w:vAlign w:val="center"/>
          </w:tcPr>
          <w:p w14:paraId="07586AAB" w14:textId="678AE24D" w:rsidR="00141853" w:rsidRPr="00426F74" w:rsidRDefault="00141853" w:rsidP="00113A12">
            <w:pPr>
              <w:jc w:val="center"/>
            </w:pPr>
            <w:r>
              <w:t>2016</w:t>
            </w:r>
          </w:p>
        </w:tc>
        <w:tc>
          <w:tcPr>
            <w:tcW w:w="1644" w:type="dxa"/>
            <w:vAlign w:val="center"/>
          </w:tcPr>
          <w:p w14:paraId="6600D1B3" w14:textId="5F8A343C" w:rsidR="00141853" w:rsidRPr="00426F74" w:rsidRDefault="00141853" w:rsidP="00113A12">
            <w:pPr>
              <w:jc w:val="center"/>
            </w:pPr>
            <w:r>
              <w:t>13 133</w:t>
            </w:r>
          </w:p>
        </w:tc>
        <w:tc>
          <w:tcPr>
            <w:tcW w:w="1644" w:type="dxa"/>
            <w:vAlign w:val="center"/>
          </w:tcPr>
          <w:p w14:paraId="4879A6FB" w14:textId="4985C2B9" w:rsidR="00141853" w:rsidRPr="00426F74" w:rsidRDefault="00141853" w:rsidP="00113A12">
            <w:pPr>
              <w:jc w:val="center"/>
            </w:pPr>
            <w:r>
              <w:t>13 407</w:t>
            </w:r>
          </w:p>
        </w:tc>
        <w:tc>
          <w:tcPr>
            <w:tcW w:w="1644" w:type="dxa"/>
            <w:vAlign w:val="center"/>
          </w:tcPr>
          <w:p w14:paraId="7E07B4AF" w14:textId="336288A2" w:rsidR="00141853" w:rsidRPr="00426F74" w:rsidRDefault="00141853" w:rsidP="00113A12">
            <w:pPr>
              <w:jc w:val="center"/>
            </w:pPr>
            <w:r>
              <w:t>26 540</w:t>
            </w:r>
          </w:p>
        </w:tc>
      </w:tr>
      <w:tr w:rsidR="00141853" w:rsidRPr="00426F74" w14:paraId="51AE00F5" w14:textId="77777777" w:rsidTr="00113A12">
        <w:trPr>
          <w:jc w:val="center"/>
        </w:trPr>
        <w:tc>
          <w:tcPr>
            <w:tcW w:w="1644" w:type="dxa"/>
            <w:vAlign w:val="center"/>
          </w:tcPr>
          <w:p w14:paraId="1F1C842A" w14:textId="4B4FE2F3" w:rsidR="00141853" w:rsidRPr="00426F74" w:rsidRDefault="00141853" w:rsidP="00113A12">
            <w:pPr>
              <w:jc w:val="center"/>
            </w:pPr>
            <w:r>
              <w:t>2017</w:t>
            </w:r>
          </w:p>
        </w:tc>
        <w:tc>
          <w:tcPr>
            <w:tcW w:w="1644" w:type="dxa"/>
            <w:vAlign w:val="center"/>
          </w:tcPr>
          <w:p w14:paraId="2406EFAA" w14:textId="5402D51C" w:rsidR="00141853" w:rsidRPr="00426F74" w:rsidRDefault="00141853" w:rsidP="00113A12">
            <w:pPr>
              <w:jc w:val="center"/>
            </w:pPr>
            <w:r>
              <w:t>13 099</w:t>
            </w:r>
          </w:p>
        </w:tc>
        <w:tc>
          <w:tcPr>
            <w:tcW w:w="1644" w:type="dxa"/>
            <w:vAlign w:val="center"/>
          </w:tcPr>
          <w:p w14:paraId="39250D46" w14:textId="2B8C1D3B" w:rsidR="00141853" w:rsidRPr="00426F74" w:rsidRDefault="00141853" w:rsidP="00113A12">
            <w:pPr>
              <w:jc w:val="center"/>
            </w:pPr>
            <w:r>
              <w:t>13 353</w:t>
            </w:r>
          </w:p>
        </w:tc>
        <w:tc>
          <w:tcPr>
            <w:tcW w:w="1644" w:type="dxa"/>
            <w:vAlign w:val="center"/>
          </w:tcPr>
          <w:p w14:paraId="5D7AF8F7" w14:textId="66208132" w:rsidR="00141853" w:rsidRPr="00426F74" w:rsidRDefault="00141853" w:rsidP="00113A12">
            <w:pPr>
              <w:jc w:val="center"/>
            </w:pPr>
            <w:r>
              <w:t>26 452</w:t>
            </w:r>
          </w:p>
        </w:tc>
      </w:tr>
      <w:tr w:rsidR="00141853" w:rsidRPr="00426F74" w14:paraId="6125554D" w14:textId="77777777" w:rsidTr="00113A12">
        <w:trPr>
          <w:jc w:val="center"/>
        </w:trPr>
        <w:tc>
          <w:tcPr>
            <w:tcW w:w="1644" w:type="dxa"/>
            <w:vAlign w:val="center"/>
          </w:tcPr>
          <w:p w14:paraId="33B33EF3" w14:textId="67F53465" w:rsidR="00141853" w:rsidRPr="00426F74" w:rsidRDefault="00141853" w:rsidP="00113A12">
            <w:pPr>
              <w:jc w:val="center"/>
            </w:pPr>
            <w:r>
              <w:t>2018</w:t>
            </w:r>
          </w:p>
        </w:tc>
        <w:tc>
          <w:tcPr>
            <w:tcW w:w="1644" w:type="dxa"/>
            <w:vAlign w:val="center"/>
          </w:tcPr>
          <w:p w14:paraId="7E82BAFA" w14:textId="0BB681EB" w:rsidR="00141853" w:rsidRPr="00426F74" w:rsidRDefault="00141853" w:rsidP="00113A12">
            <w:pPr>
              <w:jc w:val="center"/>
            </w:pPr>
            <w:r>
              <w:t>13 004</w:t>
            </w:r>
          </w:p>
        </w:tc>
        <w:tc>
          <w:tcPr>
            <w:tcW w:w="1644" w:type="dxa"/>
            <w:vAlign w:val="center"/>
          </w:tcPr>
          <w:p w14:paraId="784C0CB1" w14:textId="394A3B19" w:rsidR="00141853" w:rsidRPr="00426F74" w:rsidRDefault="00141853" w:rsidP="00113A12">
            <w:pPr>
              <w:jc w:val="center"/>
            </w:pPr>
            <w:r>
              <w:t>13 288</w:t>
            </w:r>
          </w:p>
        </w:tc>
        <w:tc>
          <w:tcPr>
            <w:tcW w:w="1644" w:type="dxa"/>
            <w:vAlign w:val="center"/>
          </w:tcPr>
          <w:p w14:paraId="188FD684" w14:textId="08094CE9" w:rsidR="00141853" w:rsidRPr="00426F74" w:rsidRDefault="00141853" w:rsidP="00113A12">
            <w:pPr>
              <w:jc w:val="center"/>
            </w:pPr>
            <w:r>
              <w:t>26 292</w:t>
            </w:r>
          </w:p>
        </w:tc>
      </w:tr>
    </w:tbl>
    <w:p w14:paraId="468CD901" w14:textId="165F2EDC" w:rsidR="00E65B8B" w:rsidRDefault="009D777B" w:rsidP="009D777B">
      <w:pPr>
        <w:jc w:val="left"/>
        <w:rPr>
          <w:sz w:val="20"/>
          <w:szCs w:val="20"/>
        </w:rPr>
      </w:pPr>
      <w:r w:rsidRPr="00426F74">
        <w:rPr>
          <w:sz w:val="20"/>
          <w:szCs w:val="20"/>
        </w:rPr>
        <w:tab/>
      </w:r>
      <w:r w:rsidRPr="00426F74">
        <w:rPr>
          <w:sz w:val="20"/>
          <w:szCs w:val="20"/>
        </w:rPr>
        <w:tab/>
        <w:t>Zdroj: Štatistický úrad SR</w:t>
      </w:r>
    </w:p>
    <w:p w14:paraId="5C956F55" w14:textId="77777777" w:rsidR="009D777B" w:rsidRPr="009D777B" w:rsidRDefault="009D777B" w:rsidP="009D777B">
      <w:pPr>
        <w:jc w:val="left"/>
        <w:rPr>
          <w:sz w:val="20"/>
          <w:szCs w:val="20"/>
        </w:rPr>
      </w:pPr>
    </w:p>
    <w:p w14:paraId="69BCAF9F" w14:textId="5A869783" w:rsidR="009D777B" w:rsidRDefault="009D777B" w:rsidP="009D777B">
      <w:r w:rsidRPr="00426F74">
        <w:t>Z hľadiska rozdelenia obyvateľov okresu podľa národnosti má výraznú prevahu slovenská národnosť. V nasledujúcej tabuľke je uvedené rozdelenie obyvateľov okresu podľa národností od roku 201</w:t>
      </w:r>
      <w:r w:rsidR="00E56AE9">
        <w:t>4</w:t>
      </w:r>
      <w:r w:rsidRPr="00426F74">
        <w:t xml:space="preserve"> až do roku 201</w:t>
      </w:r>
      <w:r w:rsidR="00E56AE9">
        <w:t>8</w:t>
      </w:r>
      <w:r w:rsidRPr="00426F74">
        <w:t>.</w:t>
      </w:r>
    </w:p>
    <w:p w14:paraId="3E32C707" w14:textId="77777777" w:rsidR="00E02A01" w:rsidRPr="00426F74" w:rsidRDefault="00E02A01" w:rsidP="009D777B"/>
    <w:p w14:paraId="4D62AED5" w14:textId="1E9AD9B2" w:rsidR="005F29A9" w:rsidRDefault="005F29A9" w:rsidP="005F29A9">
      <w:pPr>
        <w:pStyle w:val="Popis"/>
      </w:pPr>
      <w:r>
        <w:t xml:space="preserve">Tab. </w:t>
      </w:r>
      <w:r>
        <w:fldChar w:fldCharType="begin"/>
      </w:r>
      <w:r>
        <w:instrText xml:space="preserve"> SEQ Tab. \* ARABIC </w:instrText>
      </w:r>
      <w:r>
        <w:fldChar w:fldCharType="separate"/>
      </w:r>
      <w:r w:rsidR="00467FCC">
        <w:rPr>
          <w:noProof/>
        </w:rPr>
        <w:t>16</w:t>
      </w:r>
      <w:r>
        <w:fldChar w:fldCharType="end"/>
      </w:r>
      <w:r>
        <w:t xml:space="preserve"> - </w:t>
      </w:r>
      <w:bookmarkStart w:id="33" w:name="_Toc464676845"/>
      <w:r w:rsidRPr="00426F74">
        <w:t>Obyvateľstvo okresu podľa národnosti (2010 – 2014)</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77"/>
        <w:gridCol w:w="1077"/>
        <w:gridCol w:w="1077"/>
        <w:gridCol w:w="1077"/>
        <w:gridCol w:w="1077"/>
      </w:tblGrid>
      <w:tr w:rsidR="009D777B" w:rsidRPr="00426F74" w14:paraId="03290AC0" w14:textId="77777777" w:rsidTr="00903882">
        <w:trPr>
          <w:tblHeader/>
          <w:jc w:val="center"/>
        </w:trPr>
        <w:tc>
          <w:tcPr>
            <w:tcW w:w="3231" w:type="dxa"/>
            <w:vMerge w:val="restart"/>
            <w:shd w:val="clear" w:color="auto" w:fill="808080" w:themeFill="background1" w:themeFillShade="80"/>
            <w:vAlign w:val="center"/>
          </w:tcPr>
          <w:p w14:paraId="24BB02EB" w14:textId="77777777" w:rsidR="009D777B" w:rsidRPr="00903882" w:rsidRDefault="009D777B" w:rsidP="00113A12">
            <w:pPr>
              <w:jc w:val="center"/>
              <w:rPr>
                <w:b/>
                <w:i/>
                <w:iCs/>
              </w:rPr>
            </w:pPr>
            <w:r w:rsidRPr="00903882">
              <w:rPr>
                <w:b/>
                <w:i/>
                <w:iCs/>
              </w:rPr>
              <w:t>Národnosť</w:t>
            </w:r>
          </w:p>
        </w:tc>
        <w:tc>
          <w:tcPr>
            <w:tcW w:w="5385" w:type="dxa"/>
            <w:gridSpan w:val="5"/>
            <w:shd w:val="clear" w:color="auto" w:fill="808080" w:themeFill="background1" w:themeFillShade="80"/>
            <w:vAlign w:val="center"/>
          </w:tcPr>
          <w:p w14:paraId="356BC9CA" w14:textId="77777777" w:rsidR="009D777B" w:rsidRPr="00903882" w:rsidRDefault="009D777B" w:rsidP="00113A12">
            <w:pPr>
              <w:jc w:val="center"/>
              <w:rPr>
                <w:b/>
                <w:i/>
                <w:iCs/>
              </w:rPr>
            </w:pPr>
            <w:r w:rsidRPr="00903882">
              <w:rPr>
                <w:b/>
                <w:i/>
                <w:iCs/>
              </w:rPr>
              <w:t>Rok</w:t>
            </w:r>
          </w:p>
        </w:tc>
      </w:tr>
      <w:tr w:rsidR="009D777B" w:rsidRPr="00426F74" w14:paraId="4E113961" w14:textId="77777777" w:rsidTr="00903882">
        <w:trPr>
          <w:tblHeader/>
          <w:jc w:val="center"/>
        </w:trPr>
        <w:tc>
          <w:tcPr>
            <w:tcW w:w="3231" w:type="dxa"/>
            <w:vMerge/>
            <w:shd w:val="clear" w:color="auto" w:fill="808080" w:themeFill="background1" w:themeFillShade="80"/>
          </w:tcPr>
          <w:p w14:paraId="588E1C59" w14:textId="77777777" w:rsidR="009D777B" w:rsidRPr="00903882" w:rsidRDefault="009D777B" w:rsidP="00113A12">
            <w:pPr>
              <w:rPr>
                <w:i/>
                <w:iCs/>
              </w:rPr>
            </w:pPr>
          </w:p>
        </w:tc>
        <w:tc>
          <w:tcPr>
            <w:tcW w:w="1077" w:type="dxa"/>
            <w:shd w:val="clear" w:color="auto" w:fill="808080" w:themeFill="background1" w:themeFillShade="80"/>
            <w:vAlign w:val="center"/>
          </w:tcPr>
          <w:p w14:paraId="5EE26FCE" w14:textId="189C19B5" w:rsidR="009D777B" w:rsidRPr="00903882" w:rsidRDefault="00141853" w:rsidP="00113A12">
            <w:pPr>
              <w:jc w:val="center"/>
              <w:rPr>
                <w:b/>
                <w:i/>
                <w:iCs/>
              </w:rPr>
            </w:pPr>
            <w:r>
              <w:rPr>
                <w:b/>
                <w:i/>
                <w:iCs/>
              </w:rPr>
              <w:t>2014</w:t>
            </w:r>
          </w:p>
        </w:tc>
        <w:tc>
          <w:tcPr>
            <w:tcW w:w="1077" w:type="dxa"/>
            <w:shd w:val="clear" w:color="auto" w:fill="808080" w:themeFill="background1" w:themeFillShade="80"/>
            <w:vAlign w:val="center"/>
          </w:tcPr>
          <w:p w14:paraId="2FE80AC7" w14:textId="144B887B" w:rsidR="009D777B" w:rsidRPr="00903882" w:rsidRDefault="00141853" w:rsidP="00113A12">
            <w:pPr>
              <w:jc w:val="center"/>
              <w:rPr>
                <w:b/>
                <w:i/>
                <w:iCs/>
              </w:rPr>
            </w:pPr>
            <w:r>
              <w:rPr>
                <w:b/>
                <w:i/>
                <w:iCs/>
              </w:rPr>
              <w:t>2015</w:t>
            </w:r>
          </w:p>
        </w:tc>
        <w:tc>
          <w:tcPr>
            <w:tcW w:w="1077" w:type="dxa"/>
            <w:shd w:val="clear" w:color="auto" w:fill="808080" w:themeFill="background1" w:themeFillShade="80"/>
            <w:vAlign w:val="center"/>
          </w:tcPr>
          <w:p w14:paraId="73F23F12" w14:textId="7D07E2EF" w:rsidR="009D777B" w:rsidRPr="00903882" w:rsidRDefault="00141853" w:rsidP="00113A12">
            <w:pPr>
              <w:jc w:val="center"/>
              <w:rPr>
                <w:b/>
                <w:i/>
                <w:iCs/>
              </w:rPr>
            </w:pPr>
            <w:r>
              <w:rPr>
                <w:b/>
                <w:i/>
                <w:iCs/>
              </w:rPr>
              <w:t>2016</w:t>
            </w:r>
          </w:p>
        </w:tc>
        <w:tc>
          <w:tcPr>
            <w:tcW w:w="1077" w:type="dxa"/>
            <w:shd w:val="clear" w:color="auto" w:fill="808080" w:themeFill="background1" w:themeFillShade="80"/>
            <w:vAlign w:val="center"/>
          </w:tcPr>
          <w:p w14:paraId="2F6A7A05" w14:textId="632EBB0A" w:rsidR="009D777B" w:rsidRPr="00903882" w:rsidRDefault="00141853" w:rsidP="00113A12">
            <w:pPr>
              <w:jc w:val="center"/>
              <w:rPr>
                <w:b/>
                <w:i/>
                <w:iCs/>
              </w:rPr>
            </w:pPr>
            <w:r>
              <w:rPr>
                <w:b/>
                <w:i/>
                <w:iCs/>
              </w:rPr>
              <w:t>2017</w:t>
            </w:r>
          </w:p>
        </w:tc>
        <w:tc>
          <w:tcPr>
            <w:tcW w:w="1077" w:type="dxa"/>
            <w:shd w:val="clear" w:color="auto" w:fill="808080" w:themeFill="background1" w:themeFillShade="80"/>
            <w:vAlign w:val="center"/>
          </w:tcPr>
          <w:p w14:paraId="22D7DB9F" w14:textId="5848881F" w:rsidR="009D777B" w:rsidRPr="00903882" w:rsidRDefault="00141853" w:rsidP="00113A12">
            <w:pPr>
              <w:jc w:val="center"/>
              <w:rPr>
                <w:b/>
                <w:i/>
                <w:iCs/>
              </w:rPr>
            </w:pPr>
            <w:r>
              <w:rPr>
                <w:b/>
                <w:i/>
                <w:iCs/>
              </w:rPr>
              <w:t>2018</w:t>
            </w:r>
          </w:p>
        </w:tc>
      </w:tr>
      <w:tr w:rsidR="00141853" w:rsidRPr="00426F74" w14:paraId="6E6E804A" w14:textId="77777777" w:rsidTr="007C5303">
        <w:trPr>
          <w:tblHeader/>
          <w:jc w:val="center"/>
        </w:trPr>
        <w:tc>
          <w:tcPr>
            <w:tcW w:w="3231" w:type="dxa"/>
            <w:vAlign w:val="bottom"/>
          </w:tcPr>
          <w:p w14:paraId="05D3172F" w14:textId="42FEC5E1" w:rsidR="00141853" w:rsidRPr="00426F74" w:rsidRDefault="00141853" w:rsidP="00141853">
            <w:pPr>
              <w:jc w:val="left"/>
            </w:pPr>
            <w:r>
              <w:rPr>
                <w:rFonts w:ascii="Calibri" w:hAnsi="Calibri" w:cs="Calibri"/>
                <w:sz w:val="22"/>
                <w:szCs w:val="22"/>
              </w:rPr>
              <w:t>Slovenská</w:t>
            </w:r>
          </w:p>
        </w:tc>
        <w:tc>
          <w:tcPr>
            <w:tcW w:w="1077" w:type="dxa"/>
            <w:vAlign w:val="bottom"/>
          </w:tcPr>
          <w:p w14:paraId="0E2D0A7E" w14:textId="786F73DF" w:rsidR="00141853" w:rsidRPr="00426F74" w:rsidRDefault="00141853" w:rsidP="00141853">
            <w:pPr>
              <w:jc w:val="center"/>
            </w:pPr>
            <w:r>
              <w:rPr>
                <w:rFonts w:ascii="Calibri" w:hAnsi="Calibri" w:cs="Calibri"/>
                <w:sz w:val="22"/>
                <w:szCs w:val="22"/>
              </w:rPr>
              <w:t>24</w:t>
            </w:r>
            <w:r w:rsidR="00E56AE9">
              <w:rPr>
                <w:rFonts w:ascii="Calibri" w:hAnsi="Calibri" w:cs="Calibri"/>
                <w:sz w:val="22"/>
                <w:szCs w:val="22"/>
              </w:rPr>
              <w:t xml:space="preserve"> </w:t>
            </w:r>
            <w:r>
              <w:rPr>
                <w:rFonts w:ascii="Calibri" w:hAnsi="Calibri" w:cs="Calibri"/>
                <w:sz w:val="22"/>
                <w:szCs w:val="22"/>
              </w:rPr>
              <w:t>307</w:t>
            </w:r>
          </w:p>
        </w:tc>
        <w:tc>
          <w:tcPr>
            <w:tcW w:w="1077" w:type="dxa"/>
            <w:vAlign w:val="bottom"/>
          </w:tcPr>
          <w:p w14:paraId="70F841E3" w14:textId="66BD38CE" w:rsidR="00141853" w:rsidRPr="00426F74" w:rsidRDefault="00141853" w:rsidP="00141853">
            <w:pPr>
              <w:jc w:val="center"/>
            </w:pPr>
            <w:r>
              <w:rPr>
                <w:rFonts w:ascii="Calibri" w:hAnsi="Calibri" w:cs="Calibri"/>
                <w:sz w:val="22"/>
                <w:szCs w:val="22"/>
              </w:rPr>
              <w:t>24</w:t>
            </w:r>
            <w:r w:rsidR="00E56AE9">
              <w:rPr>
                <w:rFonts w:ascii="Calibri" w:hAnsi="Calibri" w:cs="Calibri"/>
                <w:sz w:val="22"/>
                <w:szCs w:val="22"/>
              </w:rPr>
              <w:t xml:space="preserve"> </w:t>
            </w:r>
            <w:r>
              <w:rPr>
                <w:rFonts w:ascii="Calibri" w:hAnsi="Calibri" w:cs="Calibri"/>
                <w:sz w:val="22"/>
                <w:szCs w:val="22"/>
              </w:rPr>
              <w:t>154</w:t>
            </w:r>
          </w:p>
        </w:tc>
        <w:tc>
          <w:tcPr>
            <w:tcW w:w="1077" w:type="dxa"/>
            <w:vAlign w:val="bottom"/>
          </w:tcPr>
          <w:p w14:paraId="7F04918E" w14:textId="04392E5A" w:rsidR="00141853" w:rsidRPr="00426F74" w:rsidRDefault="00141853" w:rsidP="00141853">
            <w:pPr>
              <w:jc w:val="center"/>
            </w:pPr>
            <w:r>
              <w:rPr>
                <w:rFonts w:ascii="Calibri" w:hAnsi="Calibri" w:cs="Calibri"/>
                <w:sz w:val="22"/>
                <w:szCs w:val="22"/>
              </w:rPr>
              <w:t>24</w:t>
            </w:r>
            <w:r w:rsidR="00E56AE9">
              <w:rPr>
                <w:rFonts w:ascii="Calibri" w:hAnsi="Calibri" w:cs="Calibri"/>
                <w:sz w:val="22"/>
                <w:szCs w:val="22"/>
              </w:rPr>
              <w:t xml:space="preserve"> </w:t>
            </w:r>
            <w:r>
              <w:rPr>
                <w:rFonts w:ascii="Calibri" w:hAnsi="Calibri" w:cs="Calibri"/>
                <w:sz w:val="22"/>
                <w:szCs w:val="22"/>
              </w:rPr>
              <w:t>112</w:t>
            </w:r>
          </w:p>
        </w:tc>
        <w:tc>
          <w:tcPr>
            <w:tcW w:w="1077" w:type="dxa"/>
            <w:vAlign w:val="bottom"/>
          </w:tcPr>
          <w:p w14:paraId="6D50EA98" w14:textId="20B3DB4F" w:rsidR="00141853" w:rsidRPr="00426F74" w:rsidRDefault="00141853" w:rsidP="00141853">
            <w:pPr>
              <w:jc w:val="center"/>
            </w:pPr>
            <w:r>
              <w:rPr>
                <w:rFonts w:ascii="Calibri" w:hAnsi="Calibri" w:cs="Calibri"/>
                <w:sz w:val="22"/>
                <w:szCs w:val="22"/>
              </w:rPr>
              <w:t>23</w:t>
            </w:r>
            <w:r w:rsidR="00E56AE9">
              <w:rPr>
                <w:rFonts w:ascii="Calibri" w:hAnsi="Calibri" w:cs="Calibri"/>
                <w:sz w:val="22"/>
                <w:szCs w:val="22"/>
              </w:rPr>
              <w:t xml:space="preserve"> </w:t>
            </w:r>
            <w:r>
              <w:rPr>
                <w:rFonts w:ascii="Calibri" w:hAnsi="Calibri" w:cs="Calibri"/>
                <w:sz w:val="22"/>
                <w:szCs w:val="22"/>
              </w:rPr>
              <w:t>981</w:t>
            </w:r>
          </w:p>
        </w:tc>
        <w:tc>
          <w:tcPr>
            <w:tcW w:w="1077" w:type="dxa"/>
            <w:vAlign w:val="bottom"/>
          </w:tcPr>
          <w:p w14:paraId="5444CCB8" w14:textId="2EF12A69" w:rsidR="00141853" w:rsidRPr="00426F74" w:rsidRDefault="00141853" w:rsidP="00141853">
            <w:pPr>
              <w:jc w:val="center"/>
            </w:pPr>
            <w:r>
              <w:rPr>
                <w:rFonts w:ascii="Calibri" w:hAnsi="Calibri" w:cs="Calibri"/>
                <w:sz w:val="22"/>
                <w:szCs w:val="22"/>
              </w:rPr>
              <w:t>23</w:t>
            </w:r>
            <w:r w:rsidR="00E56AE9">
              <w:rPr>
                <w:rFonts w:ascii="Calibri" w:hAnsi="Calibri" w:cs="Calibri"/>
                <w:sz w:val="22"/>
                <w:szCs w:val="22"/>
              </w:rPr>
              <w:t xml:space="preserve"> </w:t>
            </w:r>
            <w:r>
              <w:rPr>
                <w:rFonts w:ascii="Calibri" w:hAnsi="Calibri" w:cs="Calibri"/>
                <w:sz w:val="22"/>
                <w:szCs w:val="22"/>
              </w:rPr>
              <w:t>906</w:t>
            </w:r>
          </w:p>
        </w:tc>
      </w:tr>
      <w:tr w:rsidR="00141853" w:rsidRPr="00426F74" w14:paraId="1DA04344" w14:textId="77777777" w:rsidTr="007C5303">
        <w:trPr>
          <w:tblHeader/>
          <w:jc w:val="center"/>
        </w:trPr>
        <w:tc>
          <w:tcPr>
            <w:tcW w:w="3231" w:type="dxa"/>
            <w:vAlign w:val="bottom"/>
          </w:tcPr>
          <w:p w14:paraId="203C81BC" w14:textId="3E8CD403" w:rsidR="00141853" w:rsidRPr="00426F74" w:rsidRDefault="00141853" w:rsidP="00141853">
            <w:pPr>
              <w:jc w:val="left"/>
            </w:pPr>
            <w:r>
              <w:rPr>
                <w:rFonts w:ascii="Calibri" w:hAnsi="Calibri" w:cs="Calibri"/>
                <w:sz w:val="22"/>
                <w:szCs w:val="22"/>
              </w:rPr>
              <w:t>Maďarská</w:t>
            </w:r>
          </w:p>
        </w:tc>
        <w:tc>
          <w:tcPr>
            <w:tcW w:w="1077" w:type="dxa"/>
            <w:vAlign w:val="bottom"/>
          </w:tcPr>
          <w:p w14:paraId="4C49BDAC" w14:textId="3BAE5619" w:rsidR="00141853" w:rsidRPr="00426F74" w:rsidRDefault="00141853" w:rsidP="00141853">
            <w:pPr>
              <w:jc w:val="center"/>
            </w:pPr>
            <w:r>
              <w:rPr>
                <w:rFonts w:ascii="Calibri" w:hAnsi="Calibri" w:cs="Calibri"/>
                <w:sz w:val="22"/>
                <w:szCs w:val="22"/>
              </w:rPr>
              <w:t>37</w:t>
            </w:r>
          </w:p>
        </w:tc>
        <w:tc>
          <w:tcPr>
            <w:tcW w:w="1077" w:type="dxa"/>
            <w:vAlign w:val="bottom"/>
          </w:tcPr>
          <w:p w14:paraId="43FE480D" w14:textId="2A29E336" w:rsidR="00141853" w:rsidRPr="00426F74" w:rsidRDefault="00141853" w:rsidP="00141853">
            <w:pPr>
              <w:jc w:val="center"/>
            </w:pPr>
            <w:r>
              <w:rPr>
                <w:rFonts w:ascii="Calibri" w:hAnsi="Calibri" w:cs="Calibri"/>
                <w:sz w:val="22"/>
                <w:szCs w:val="22"/>
              </w:rPr>
              <w:t>37</w:t>
            </w:r>
          </w:p>
        </w:tc>
        <w:tc>
          <w:tcPr>
            <w:tcW w:w="1077" w:type="dxa"/>
            <w:vAlign w:val="bottom"/>
          </w:tcPr>
          <w:p w14:paraId="0D1EE907" w14:textId="23FE5833" w:rsidR="00141853" w:rsidRPr="00426F74" w:rsidRDefault="00141853" w:rsidP="00141853">
            <w:pPr>
              <w:jc w:val="center"/>
            </w:pPr>
            <w:r>
              <w:rPr>
                <w:rFonts w:ascii="Calibri" w:hAnsi="Calibri" w:cs="Calibri"/>
                <w:sz w:val="22"/>
                <w:szCs w:val="22"/>
              </w:rPr>
              <w:t>37</w:t>
            </w:r>
          </w:p>
        </w:tc>
        <w:tc>
          <w:tcPr>
            <w:tcW w:w="1077" w:type="dxa"/>
            <w:vAlign w:val="bottom"/>
          </w:tcPr>
          <w:p w14:paraId="75DE5DE6" w14:textId="6F8A5E3D" w:rsidR="00141853" w:rsidRPr="00426F74" w:rsidRDefault="00141853" w:rsidP="00141853">
            <w:pPr>
              <w:jc w:val="center"/>
            </w:pPr>
            <w:r>
              <w:rPr>
                <w:rFonts w:ascii="Calibri" w:hAnsi="Calibri" w:cs="Calibri"/>
                <w:sz w:val="22"/>
                <w:szCs w:val="22"/>
              </w:rPr>
              <w:t>45</w:t>
            </w:r>
          </w:p>
        </w:tc>
        <w:tc>
          <w:tcPr>
            <w:tcW w:w="1077" w:type="dxa"/>
            <w:vAlign w:val="bottom"/>
          </w:tcPr>
          <w:p w14:paraId="6EC52EC6" w14:textId="2A4E2F77" w:rsidR="00141853" w:rsidRPr="00426F74" w:rsidRDefault="00141853" w:rsidP="00141853">
            <w:pPr>
              <w:jc w:val="center"/>
            </w:pPr>
            <w:r>
              <w:rPr>
                <w:rFonts w:ascii="Calibri" w:hAnsi="Calibri" w:cs="Calibri"/>
                <w:sz w:val="22"/>
                <w:szCs w:val="22"/>
              </w:rPr>
              <w:t>47</w:t>
            </w:r>
          </w:p>
        </w:tc>
      </w:tr>
      <w:tr w:rsidR="00141853" w:rsidRPr="00426F74" w14:paraId="773B2C07" w14:textId="77777777" w:rsidTr="007C5303">
        <w:trPr>
          <w:tblHeader/>
          <w:jc w:val="center"/>
        </w:trPr>
        <w:tc>
          <w:tcPr>
            <w:tcW w:w="3231" w:type="dxa"/>
            <w:vAlign w:val="bottom"/>
          </w:tcPr>
          <w:p w14:paraId="28413962" w14:textId="147FB1E3" w:rsidR="00141853" w:rsidRPr="00426F74" w:rsidRDefault="00141853" w:rsidP="00141853">
            <w:pPr>
              <w:jc w:val="left"/>
            </w:pPr>
            <w:r>
              <w:rPr>
                <w:rFonts w:ascii="Calibri" w:hAnsi="Calibri" w:cs="Calibri"/>
                <w:sz w:val="22"/>
                <w:szCs w:val="22"/>
              </w:rPr>
              <w:t>Rómska</w:t>
            </w:r>
          </w:p>
        </w:tc>
        <w:tc>
          <w:tcPr>
            <w:tcW w:w="1077" w:type="dxa"/>
            <w:vAlign w:val="bottom"/>
          </w:tcPr>
          <w:p w14:paraId="6943287C" w14:textId="01D81A26" w:rsidR="00141853" w:rsidRPr="00426F74" w:rsidRDefault="00141853" w:rsidP="00141853">
            <w:pPr>
              <w:jc w:val="center"/>
            </w:pPr>
            <w:r>
              <w:rPr>
                <w:rFonts w:ascii="Calibri" w:hAnsi="Calibri" w:cs="Calibri"/>
                <w:sz w:val="22"/>
                <w:szCs w:val="22"/>
              </w:rPr>
              <w:t>120</w:t>
            </w:r>
          </w:p>
        </w:tc>
        <w:tc>
          <w:tcPr>
            <w:tcW w:w="1077" w:type="dxa"/>
            <w:vAlign w:val="bottom"/>
          </w:tcPr>
          <w:p w14:paraId="50750C9D" w14:textId="5A6FDE9F" w:rsidR="00141853" w:rsidRPr="00426F74" w:rsidRDefault="00141853" w:rsidP="00141853">
            <w:pPr>
              <w:jc w:val="center"/>
            </w:pPr>
            <w:r>
              <w:rPr>
                <w:rFonts w:ascii="Calibri" w:hAnsi="Calibri" w:cs="Calibri"/>
                <w:sz w:val="22"/>
                <w:szCs w:val="22"/>
              </w:rPr>
              <w:t>120</w:t>
            </w:r>
          </w:p>
        </w:tc>
        <w:tc>
          <w:tcPr>
            <w:tcW w:w="1077" w:type="dxa"/>
            <w:vAlign w:val="bottom"/>
          </w:tcPr>
          <w:p w14:paraId="3571CEA2" w14:textId="10BC6A29" w:rsidR="00141853" w:rsidRPr="00426F74" w:rsidRDefault="00141853" w:rsidP="00141853">
            <w:pPr>
              <w:jc w:val="center"/>
            </w:pPr>
            <w:r>
              <w:rPr>
                <w:rFonts w:ascii="Calibri" w:hAnsi="Calibri" w:cs="Calibri"/>
                <w:sz w:val="22"/>
                <w:szCs w:val="22"/>
              </w:rPr>
              <w:t>120</w:t>
            </w:r>
          </w:p>
        </w:tc>
        <w:tc>
          <w:tcPr>
            <w:tcW w:w="1077" w:type="dxa"/>
            <w:vAlign w:val="bottom"/>
          </w:tcPr>
          <w:p w14:paraId="6A10F065" w14:textId="27415CB2" w:rsidR="00141853" w:rsidRPr="00426F74" w:rsidRDefault="00141853" w:rsidP="00141853">
            <w:pPr>
              <w:jc w:val="center"/>
            </w:pPr>
            <w:r>
              <w:rPr>
                <w:rFonts w:ascii="Calibri" w:hAnsi="Calibri" w:cs="Calibri"/>
                <w:sz w:val="22"/>
                <w:szCs w:val="22"/>
              </w:rPr>
              <w:t>118</w:t>
            </w:r>
          </w:p>
        </w:tc>
        <w:tc>
          <w:tcPr>
            <w:tcW w:w="1077" w:type="dxa"/>
            <w:vAlign w:val="bottom"/>
          </w:tcPr>
          <w:p w14:paraId="26E340D6" w14:textId="118DDC2D" w:rsidR="00141853" w:rsidRPr="00426F74" w:rsidRDefault="00141853" w:rsidP="00141853">
            <w:pPr>
              <w:jc w:val="center"/>
            </w:pPr>
            <w:r>
              <w:rPr>
                <w:rFonts w:ascii="Calibri" w:hAnsi="Calibri" w:cs="Calibri"/>
                <w:sz w:val="22"/>
                <w:szCs w:val="22"/>
              </w:rPr>
              <w:t>116</w:t>
            </w:r>
          </w:p>
        </w:tc>
      </w:tr>
      <w:tr w:rsidR="00141853" w:rsidRPr="00426F74" w14:paraId="4E1BC92B" w14:textId="77777777" w:rsidTr="007C5303">
        <w:trPr>
          <w:tblHeader/>
          <w:jc w:val="center"/>
        </w:trPr>
        <w:tc>
          <w:tcPr>
            <w:tcW w:w="3231" w:type="dxa"/>
            <w:vAlign w:val="bottom"/>
          </w:tcPr>
          <w:p w14:paraId="34150407" w14:textId="0A447714" w:rsidR="00141853" w:rsidRPr="00426F74" w:rsidRDefault="00141853" w:rsidP="00141853">
            <w:pPr>
              <w:jc w:val="left"/>
            </w:pPr>
            <w:r>
              <w:rPr>
                <w:rFonts w:ascii="Calibri" w:hAnsi="Calibri" w:cs="Calibri"/>
                <w:sz w:val="22"/>
                <w:szCs w:val="22"/>
              </w:rPr>
              <w:t>Rusínska</w:t>
            </w:r>
          </w:p>
        </w:tc>
        <w:tc>
          <w:tcPr>
            <w:tcW w:w="1077" w:type="dxa"/>
            <w:vAlign w:val="bottom"/>
          </w:tcPr>
          <w:p w14:paraId="25484135" w14:textId="7F98EDBD" w:rsidR="00141853" w:rsidRPr="00426F74" w:rsidRDefault="00141853" w:rsidP="00141853">
            <w:pPr>
              <w:jc w:val="center"/>
            </w:pPr>
            <w:r>
              <w:rPr>
                <w:rFonts w:ascii="Calibri" w:hAnsi="Calibri" w:cs="Calibri"/>
                <w:sz w:val="22"/>
                <w:szCs w:val="22"/>
              </w:rPr>
              <w:t>7</w:t>
            </w:r>
          </w:p>
        </w:tc>
        <w:tc>
          <w:tcPr>
            <w:tcW w:w="1077" w:type="dxa"/>
            <w:vAlign w:val="bottom"/>
          </w:tcPr>
          <w:p w14:paraId="5FFA5EBA" w14:textId="28E563B2" w:rsidR="00141853" w:rsidRPr="00426F74" w:rsidRDefault="00141853" w:rsidP="00141853">
            <w:pPr>
              <w:jc w:val="center"/>
            </w:pPr>
            <w:r>
              <w:rPr>
                <w:rFonts w:ascii="Calibri" w:hAnsi="Calibri" w:cs="Calibri"/>
                <w:sz w:val="22"/>
                <w:szCs w:val="22"/>
              </w:rPr>
              <w:t>7</w:t>
            </w:r>
          </w:p>
        </w:tc>
        <w:tc>
          <w:tcPr>
            <w:tcW w:w="1077" w:type="dxa"/>
            <w:vAlign w:val="bottom"/>
          </w:tcPr>
          <w:p w14:paraId="2310E28F" w14:textId="032E7D35" w:rsidR="00141853" w:rsidRPr="00426F74" w:rsidRDefault="00141853" w:rsidP="00141853">
            <w:pPr>
              <w:jc w:val="center"/>
            </w:pPr>
            <w:r>
              <w:rPr>
                <w:rFonts w:ascii="Calibri" w:hAnsi="Calibri" w:cs="Calibri"/>
                <w:sz w:val="22"/>
                <w:szCs w:val="22"/>
              </w:rPr>
              <w:t>7</w:t>
            </w:r>
          </w:p>
        </w:tc>
        <w:tc>
          <w:tcPr>
            <w:tcW w:w="1077" w:type="dxa"/>
            <w:vAlign w:val="bottom"/>
          </w:tcPr>
          <w:p w14:paraId="59D04B62" w14:textId="2986100E" w:rsidR="00141853" w:rsidRPr="00426F74" w:rsidRDefault="00141853" w:rsidP="00141853">
            <w:pPr>
              <w:jc w:val="center"/>
            </w:pPr>
            <w:r>
              <w:rPr>
                <w:rFonts w:ascii="Calibri" w:hAnsi="Calibri" w:cs="Calibri"/>
                <w:sz w:val="22"/>
                <w:szCs w:val="22"/>
              </w:rPr>
              <w:t>6</w:t>
            </w:r>
          </w:p>
        </w:tc>
        <w:tc>
          <w:tcPr>
            <w:tcW w:w="1077" w:type="dxa"/>
            <w:vAlign w:val="bottom"/>
          </w:tcPr>
          <w:p w14:paraId="26E8DABA" w14:textId="1722AC9A" w:rsidR="00141853" w:rsidRPr="00426F74" w:rsidRDefault="00141853" w:rsidP="00141853">
            <w:pPr>
              <w:jc w:val="center"/>
            </w:pPr>
            <w:r>
              <w:rPr>
                <w:rFonts w:ascii="Calibri" w:hAnsi="Calibri" w:cs="Calibri"/>
                <w:sz w:val="22"/>
                <w:szCs w:val="22"/>
              </w:rPr>
              <w:t>6</w:t>
            </w:r>
          </w:p>
        </w:tc>
      </w:tr>
      <w:tr w:rsidR="00141853" w:rsidRPr="00426F74" w14:paraId="66643229" w14:textId="77777777" w:rsidTr="007C5303">
        <w:trPr>
          <w:tblHeader/>
          <w:jc w:val="center"/>
        </w:trPr>
        <w:tc>
          <w:tcPr>
            <w:tcW w:w="3231" w:type="dxa"/>
            <w:vAlign w:val="bottom"/>
          </w:tcPr>
          <w:p w14:paraId="1B0147EC" w14:textId="28444D50" w:rsidR="00141853" w:rsidRPr="00426F74" w:rsidRDefault="00141853" w:rsidP="00141853">
            <w:pPr>
              <w:jc w:val="left"/>
            </w:pPr>
            <w:r>
              <w:rPr>
                <w:rFonts w:ascii="Calibri" w:hAnsi="Calibri" w:cs="Calibri"/>
                <w:sz w:val="22"/>
                <w:szCs w:val="22"/>
              </w:rPr>
              <w:t>Ukrajinská</w:t>
            </w:r>
          </w:p>
        </w:tc>
        <w:tc>
          <w:tcPr>
            <w:tcW w:w="1077" w:type="dxa"/>
            <w:vAlign w:val="bottom"/>
          </w:tcPr>
          <w:p w14:paraId="1B30DF49" w14:textId="5F56C6D5" w:rsidR="00141853" w:rsidRPr="00426F74" w:rsidRDefault="00141853" w:rsidP="00141853">
            <w:pPr>
              <w:jc w:val="center"/>
            </w:pPr>
            <w:r>
              <w:rPr>
                <w:rFonts w:ascii="Calibri" w:hAnsi="Calibri" w:cs="Calibri"/>
                <w:sz w:val="22"/>
                <w:szCs w:val="22"/>
              </w:rPr>
              <w:t>66</w:t>
            </w:r>
          </w:p>
        </w:tc>
        <w:tc>
          <w:tcPr>
            <w:tcW w:w="1077" w:type="dxa"/>
            <w:vAlign w:val="bottom"/>
          </w:tcPr>
          <w:p w14:paraId="3CF2AFFD" w14:textId="1F16D23E" w:rsidR="00141853" w:rsidRPr="00426F74" w:rsidRDefault="00141853" w:rsidP="00141853">
            <w:pPr>
              <w:jc w:val="center"/>
            </w:pPr>
            <w:r>
              <w:rPr>
                <w:rFonts w:ascii="Calibri" w:hAnsi="Calibri" w:cs="Calibri"/>
                <w:sz w:val="22"/>
                <w:szCs w:val="22"/>
              </w:rPr>
              <w:t>67</w:t>
            </w:r>
          </w:p>
        </w:tc>
        <w:tc>
          <w:tcPr>
            <w:tcW w:w="1077" w:type="dxa"/>
            <w:vAlign w:val="bottom"/>
          </w:tcPr>
          <w:p w14:paraId="455646CA" w14:textId="498C4779" w:rsidR="00141853" w:rsidRPr="00426F74" w:rsidRDefault="00141853" w:rsidP="00141853">
            <w:pPr>
              <w:jc w:val="center"/>
            </w:pPr>
            <w:r>
              <w:rPr>
                <w:rFonts w:ascii="Calibri" w:hAnsi="Calibri" w:cs="Calibri"/>
                <w:sz w:val="22"/>
                <w:szCs w:val="22"/>
              </w:rPr>
              <w:t>69</w:t>
            </w:r>
          </w:p>
        </w:tc>
        <w:tc>
          <w:tcPr>
            <w:tcW w:w="1077" w:type="dxa"/>
            <w:vAlign w:val="bottom"/>
          </w:tcPr>
          <w:p w14:paraId="19E690F9" w14:textId="259EDA94" w:rsidR="00141853" w:rsidRPr="00426F74" w:rsidRDefault="00141853" w:rsidP="00141853">
            <w:pPr>
              <w:jc w:val="center"/>
            </w:pPr>
            <w:r>
              <w:rPr>
                <w:rFonts w:ascii="Calibri" w:hAnsi="Calibri" w:cs="Calibri"/>
                <w:sz w:val="22"/>
                <w:szCs w:val="22"/>
              </w:rPr>
              <w:t>68</w:t>
            </w:r>
          </w:p>
        </w:tc>
        <w:tc>
          <w:tcPr>
            <w:tcW w:w="1077" w:type="dxa"/>
            <w:vAlign w:val="bottom"/>
          </w:tcPr>
          <w:p w14:paraId="3D544EEA" w14:textId="5A342FA3" w:rsidR="00141853" w:rsidRPr="00426F74" w:rsidRDefault="00141853" w:rsidP="00141853">
            <w:pPr>
              <w:jc w:val="center"/>
            </w:pPr>
            <w:r>
              <w:rPr>
                <w:rFonts w:ascii="Calibri" w:hAnsi="Calibri" w:cs="Calibri"/>
                <w:sz w:val="22"/>
                <w:szCs w:val="22"/>
              </w:rPr>
              <w:t>70</w:t>
            </w:r>
          </w:p>
        </w:tc>
      </w:tr>
      <w:tr w:rsidR="00141853" w:rsidRPr="00426F74" w14:paraId="65AC1147" w14:textId="77777777" w:rsidTr="007C5303">
        <w:trPr>
          <w:tblHeader/>
          <w:jc w:val="center"/>
        </w:trPr>
        <w:tc>
          <w:tcPr>
            <w:tcW w:w="3231" w:type="dxa"/>
            <w:vAlign w:val="bottom"/>
          </w:tcPr>
          <w:p w14:paraId="2CE52FDA" w14:textId="1F14722F" w:rsidR="00141853" w:rsidRPr="00426F74" w:rsidRDefault="00141853" w:rsidP="00141853">
            <w:pPr>
              <w:jc w:val="left"/>
            </w:pPr>
            <w:r>
              <w:rPr>
                <w:rFonts w:ascii="Calibri" w:hAnsi="Calibri" w:cs="Calibri"/>
                <w:sz w:val="22"/>
                <w:szCs w:val="22"/>
              </w:rPr>
              <w:t>Česká</w:t>
            </w:r>
          </w:p>
        </w:tc>
        <w:tc>
          <w:tcPr>
            <w:tcW w:w="1077" w:type="dxa"/>
            <w:vAlign w:val="bottom"/>
          </w:tcPr>
          <w:p w14:paraId="6F6999AE" w14:textId="6E6D331D" w:rsidR="00141853" w:rsidRPr="00426F74" w:rsidRDefault="00141853" w:rsidP="00141853">
            <w:pPr>
              <w:jc w:val="center"/>
            </w:pPr>
            <w:r>
              <w:rPr>
                <w:rFonts w:ascii="Calibri" w:hAnsi="Calibri" w:cs="Calibri"/>
                <w:sz w:val="22"/>
                <w:szCs w:val="22"/>
              </w:rPr>
              <w:t>87</w:t>
            </w:r>
          </w:p>
        </w:tc>
        <w:tc>
          <w:tcPr>
            <w:tcW w:w="1077" w:type="dxa"/>
            <w:vAlign w:val="bottom"/>
          </w:tcPr>
          <w:p w14:paraId="4139A019" w14:textId="6E4EC8A8" w:rsidR="00141853" w:rsidRPr="00426F74" w:rsidRDefault="00141853" w:rsidP="00141853">
            <w:pPr>
              <w:jc w:val="center"/>
            </w:pPr>
            <w:r>
              <w:rPr>
                <w:rFonts w:ascii="Calibri" w:hAnsi="Calibri" w:cs="Calibri"/>
                <w:sz w:val="22"/>
                <w:szCs w:val="22"/>
              </w:rPr>
              <w:t>91</w:t>
            </w:r>
          </w:p>
        </w:tc>
        <w:tc>
          <w:tcPr>
            <w:tcW w:w="1077" w:type="dxa"/>
            <w:vAlign w:val="bottom"/>
          </w:tcPr>
          <w:p w14:paraId="5ABFAA89" w14:textId="5F74CF3D" w:rsidR="00141853" w:rsidRPr="00426F74" w:rsidRDefault="00141853" w:rsidP="00141853">
            <w:pPr>
              <w:jc w:val="center"/>
            </w:pPr>
            <w:r>
              <w:rPr>
                <w:rFonts w:ascii="Calibri" w:hAnsi="Calibri" w:cs="Calibri"/>
                <w:sz w:val="22"/>
                <w:szCs w:val="22"/>
              </w:rPr>
              <w:t>91</w:t>
            </w:r>
          </w:p>
        </w:tc>
        <w:tc>
          <w:tcPr>
            <w:tcW w:w="1077" w:type="dxa"/>
            <w:vAlign w:val="bottom"/>
          </w:tcPr>
          <w:p w14:paraId="05FE203E" w14:textId="1F3F3AE4" w:rsidR="00141853" w:rsidRPr="00426F74" w:rsidRDefault="00141853" w:rsidP="00141853">
            <w:pPr>
              <w:jc w:val="center"/>
            </w:pPr>
            <w:r>
              <w:rPr>
                <w:rFonts w:ascii="Calibri" w:hAnsi="Calibri" w:cs="Calibri"/>
                <w:sz w:val="22"/>
                <w:szCs w:val="22"/>
              </w:rPr>
              <w:t>90</w:t>
            </w:r>
          </w:p>
        </w:tc>
        <w:tc>
          <w:tcPr>
            <w:tcW w:w="1077" w:type="dxa"/>
            <w:vAlign w:val="bottom"/>
          </w:tcPr>
          <w:p w14:paraId="01278F2B" w14:textId="57C30D9A" w:rsidR="00141853" w:rsidRPr="00426F74" w:rsidRDefault="00141853" w:rsidP="00141853">
            <w:pPr>
              <w:jc w:val="center"/>
            </w:pPr>
            <w:r>
              <w:rPr>
                <w:rFonts w:ascii="Calibri" w:hAnsi="Calibri" w:cs="Calibri"/>
                <w:sz w:val="22"/>
                <w:szCs w:val="22"/>
              </w:rPr>
              <w:t>95</w:t>
            </w:r>
          </w:p>
        </w:tc>
      </w:tr>
      <w:tr w:rsidR="00141853" w:rsidRPr="00426F74" w14:paraId="7722038B" w14:textId="77777777" w:rsidTr="007C5303">
        <w:trPr>
          <w:tblHeader/>
          <w:jc w:val="center"/>
        </w:trPr>
        <w:tc>
          <w:tcPr>
            <w:tcW w:w="3231" w:type="dxa"/>
            <w:vAlign w:val="bottom"/>
          </w:tcPr>
          <w:p w14:paraId="151FB487" w14:textId="70ED9F70" w:rsidR="00141853" w:rsidRPr="00426F74" w:rsidRDefault="00141853" w:rsidP="00141853">
            <w:pPr>
              <w:jc w:val="left"/>
            </w:pPr>
            <w:r>
              <w:rPr>
                <w:rFonts w:ascii="Calibri" w:hAnsi="Calibri" w:cs="Calibri"/>
                <w:sz w:val="22"/>
                <w:szCs w:val="22"/>
              </w:rPr>
              <w:t>Nemecká</w:t>
            </w:r>
          </w:p>
        </w:tc>
        <w:tc>
          <w:tcPr>
            <w:tcW w:w="1077" w:type="dxa"/>
            <w:vAlign w:val="bottom"/>
          </w:tcPr>
          <w:p w14:paraId="7C5D54EA" w14:textId="670A8B5D" w:rsidR="00141853" w:rsidRPr="00426F74" w:rsidRDefault="00141853" w:rsidP="00141853">
            <w:pPr>
              <w:jc w:val="center"/>
            </w:pPr>
            <w:r>
              <w:rPr>
                <w:rFonts w:ascii="Calibri" w:hAnsi="Calibri" w:cs="Calibri"/>
                <w:sz w:val="22"/>
                <w:szCs w:val="22"/>
              </w:rPr>
              <w:t>17</w:t>
            </w:r>
          </w:p>
        </w:tc>
        <w:tc>
          <w:tcPr>
            <w:tcW w:w="1077" w:type="dxa"/>
            <w:vAlign w:val="bottom"/>
          </w:tcPr>
          <w:p w14:paraId="238F85DA" w14:textId="1A915C68" w:rsidR="00141853" w:rsidRPr="00426F74" w:rsidRDefault="00141853" w:rsidP="00141853">
            <w:pPr>
              <w:jc w:val="center"/>
            </w:pPr>
            <w:r>
              <w:rPr>
                <w:rFonts w:ascii="Calibri" w:hAnsi="Calibri" w:cs="Calibri"/>
                <w:sz w:val="22"/>
                <w:szCs w:val="22"/>
              </w:rPr>
              <w:t>17</w:t>
            </w:r>
          </w:p>
        </w:tc>
        <w:tc>
          <w:tcPr>
            <w:tcW w:w="1077" w:type="dxa"/>
            <w:vAlign w:val="bottom"/>
          </w:tcPr>
          <w:p w14:paraId="540EC4F3" w14:textId="5592D1A7" w:rsidR="00141853" w:rsidRPr="00426F74" w:rsidRDefault="00141853" w:rsidP="00141853">
            <w:pPr>
              <w:jc w:val="center"/>
            </w:pPr>
            <w:r>
              <w:rPr>
                <w:rFonts w:ascii="Calibri" w:hAnsi="Calibri" w:cs="Calibri"/>
                <w:sz w:val="22"/>
                <w:szCs w:val="22"/>
              </w:rPr>
              <w:t>17</w:t>
            </w:r>
          </w:p>
        </w:tc>
        <w:tc>
          <w:tcPr>
            <w:tcW w:w="1077" w:type="dxa"/>
            <w:vAlign w:val="bottom"/>
          </w:tcPr>
          <w:p w14:paraId="55A6866D" w14:textId="7C81E5A1" w:rsidR="00141853" w:rsidRPr="00426F74" w:rsidRDefault="00141853" w:rsidP="00141853">
            <w:pPr>
              <w:jc w:val="center"/>
            </w:pPr>
            <w:r>
              <w:rPr>
                <w:rFonts w:ascii="Calibri" w:hAnsi="Calibri" w:cs="Calibri"/>
                <w:sz w:val="22"/>
                <w:szCs w:val="22"/>
              </w:rPr>
              <w:t>17</w:t>
            </w:r>
          </w:p>
        </w:tc>
        <w:tc>
          <w:tcPr>
            <w:tcW w:w="1077" w:type="dxa"/>
            <w:vAlign w:val="bottom"/>
          </w:tcPr>
          <w:p w14:paraId="707FEFDE" w14:textId="1E535C42" w:rsidR="00141853" w:rsidRPr="00426F74" w:rsidRDefault="00141853" w:rsidP="00141853">
            <w:pPr>
              <w:jc w:val="center"/>
            </w:pPr>
            <w:r>
              <w:rPr>
                <w:rFonts w:ascii="Calibri" w:hAnsi="Calibri" w:cs="Calibri"/>
                <w:sz w:val="22"/>
                <w:szCs w:val="22"/>
              </w:rPr>
              <w:t>20</w:t>
            </w:r>
          </w:p>
        </w:tc>
      </w:tr>
      <w:tr w:rsidR="00141853" w:rsidRPr="00426F74" w14:paraId="55877467" w14:textId="77777777" w:rsidTr="007C5303">
        <w:trPr>
          <w:tblHeader/>
          <w:jc w:val="center"/>
        </w:trPr>
        <w:tc>
          <w:tcPr>
            <w:tcW w:w="3231" w:type="dxa"/>
            <w:vAlign w:val="bottom"/>
          </w:tcPr>
          <w:p w14:paraId="6EEEDAE9" w14:textId="7F0712BC" w:rsidR="00141853" w:rsidRPr="00426F74" w:rsidRDefault="00141853" w:rsidP="00141853">
            <w:pPr>
              <w:jc w:val="left"/>
            </w:pPr>
            <w:r>
              <w:rPr>
                <w:rFonts w:ascii="Calibri" w:hAnsi="Calibri" w:cs="Calibri"/>
                <w:sz w:val="22"/>
                <w:szCs w:val="22"/>
              </w:rPr>
              <w:t>Poľská</w:t>
            </w:r>
          </w:p>
        </w:tc>
        <w:tc>
          <w:tcPr>
            <w:tcW w:w="1077" w:type="dxa"/>
            <w:vAlign w:val="bottom"/>
          </w:tcPr>
          <w:p w14:paraId="5C5120BE" w14:textId="4D66B06E" w:rsidR="00141853" w:rsidRPr="00426F74" w:rsidRDefault="00141853" w:rsidP="00141853">
            <w:pPr>
              <w:jc w:val="center"/>
            </w:pPr>
            <w:r>
              <w:rPr>
                <w:rFonts w:ascii="Calibri" w:hAnsi="Calibri" w:cs="Calibri"/>
                <w:sz w:val="22"/>
                <w:szCs w:val="22"/>
              </w:rPr>
              <w:t>47</w:t>
            </w:r>
          </w:p>
        </w:tc>
        <w:tc>
          <w:tcPr>
            <w:tcW w:w="1077" w:type="dxa"/>
            <w:vAlign w:val="bottom"/>
          </w:tcPr>
          <w:p w14:paraId="2F61FBDB" w14:textId="778B48CB" w:rsidR="00141853" w:rsidRPr="00426F74" w:rsidRDefault="00141853" w:rsidP="00141853">
            <w:pPr>
              <w:jc w:val="center"/>
            </w:pPr>
            <w:r>
              <w:rPr>
                <w:rFonts w:ascii="Calibri" w:hAnsi="Calibri" w:cs="Calibri"/>
                <w:sz w:val="22"/>
                <w:szCs w:val="22"/>
              </w:rPr>
              <w:t>46</w:t>
            </w:r>
          </w:p>
        </w:tc>
        <w:tc>
          <w:tcPr>
            <w:tcW w:w="1077" w:type="dxa"/>
            <w:vAlign w:val="bottom"/>
          </w:tcPr>
          <w:p w14:paraId="5D07CA70" w14:textId="357495F9" w:rsidR="00141853" w:rsidRPr="00426F74" w:rsidRDefault="00141853" w:rsidP="00141853">
            <w:pPr>
              <w:jc w:val="center"/>
            </w:pPr>
            <w:r>
              <w:rPr>
                <w:rFonts w:ascii="Calibri" w:hAnsi="Calibri" w:cs="Calibri"/>
                <w:sz w:val="22"/>
                <w:szCs w:val="22"/>
              </w:rPr>
              <w:t>47</w:t>
            </w:r>
          </w:p>
        </w:tc>
        <w:tc>
          <w:tcPr>
            <w:tcW w:w="1077" w:type="dxa"/>
            <w:vAlign w:val="bottom"/>
          </w:tcPr>
          <w:p w14:paraId="0EEE0847" w14:textId="54AA3F9B" w:rsidR="00141853" w:rsidRPr="00426F74" w:rsidRDefault="00141853" w:rsidP="00141853">
            <w:pPr>
              <w:jc w:val="center"/>
            </w:pPr>
            <w:r>
              <w:rPr>
                <w:rFonts w:ascii="Calibri" w:hAnsi="Calibri" w:cs="Calibri"/>
                <w:sz w:val="22"/>
                <w:szCs w:val="22"/>
              </w:rPr>
              <w:t>47</w:t>
            </w:r>
          </w:p>
        </w:tc>
        <w:tc>
          <w:tcPr>
            <w:tcW w:w="1077" w:type="dxa"/>
            <w:vAlign w:val="bottom"/>
          </w:tcPr>
          <w:p w14:paraId="5CC03A3F" w14:textId="22570875" w:rsidR="00141853" w:rsidRPr="00426F74" w:rsidRDefault="00141853" w:rsidP="00141853">
            <w:pPr>
              <w:jc w:val="center"/>
            </w:pPr>
            <w:r>
              <w:rPr>
                <w:rFonts w:ascii="Calibri" w:hAnsi="Calibri" w:cs="Calibri"/>
                <w:sz w:val="22"/>
                <w:szCs w:val="22"/>
              </w:rPr>
              <w:t>50</w:t>
            </w:r>
          </w:p>
        </w:tc>
      </w:tr>
      <w:tr w:rsidR="00141853" w:rsidRPr="00426F74" w14:paraId="604AEC20" w14:textId="77777777" w:rsidTr="007C5303">
        <w:trPr>
          <w:tblHeader/>
          <w:jc w:val="center"/>
        </w:trPr>
        <w:tc>
          <w:tcPr>
            <w:tcW w:w="3231" w:type="dxa"/>
            <w:vAlign w:val="bottom"/>
          </w:tcPr>
          <w:p w14:paraId="48897460" w14:textId="7FEC4099" w:rsidR="00141853" w:rsidRPr="00426F74" w:rsidRDefault="00141853" w:rsidP="00141853">
            <w:pPr>
              <w:jc w:val="left"/>
            </w:pPr>
            <w:r>
              <w:rPr>
                <w:rFonts w:ascii="Calibri" w:hAnsi="Calibri" w:cs="Calibri"/>
                <w:sz w:val="22"/>
                <w:szCs w:val="22"/>
              </w:rPr>
              <w:t>Ruská</w:t>
            </w:r>
          </w:p>
        </w:tc>
        <w:tc>
          <w:tcPr>
            <w:tcW w:w="1077" w:type="dxa"/>
            <w:vAlign w:val="bottom"/>
          </w:tcPr>
          <w:p w14:paraId="5C42625C" w14:textId="25773474" w:rsidR="00141853" w:rsidRPr="00426F74" w:rsidRDefault="00141853" w:rsidP="00141853">
            <w:pPr>
              <w:jc w:val="center"/>
            </w:pPr>
            <w:r>
              <w:rPr>
                <w:rFonts w:ascii="Calibri" w:hAnsi="Calibri" w:cs="Calibri"/>
                <w:sz w:val="22"/>
                <w:szCs w:val="22"/>
              </w:rPr>
              <w:t>9</w:t>
            </w:r>
          </w:p>
        </w:tc>
        <w:tc>
          <w:tcPr>
            <w:tcW w:w="1077" w:type="dxa"/>
            <w:vAlign w:val="bottom"/>
          </w:tcPr>
          <w:p w14:paraId="79C45B4E" w14:textId="69241E2E" w:rsidR="00141853" w:rsidRPr="00426F74" w:rsidRDefault="00141853" w:rsidP="00141853">
            <w:pPr>
              <w:jc w:val="center"/>
            </w:pPr>
            <w:r>
              <w:rPr>
                <w:rFonts w:ascii="Calibri" w:hAnsi="Calibri" w:cs="Calibri"/>
                <w:sz w:val="22"/>
                <w:szCs w:val="22"/>
              </w:rPr>
              <w:t>8</w:t>
            </w:r>
          </w:p>
        </w:tc>
        <w:tc>
          <w:tcPr>
            <w:tcW w:w="1077" w:type="dxa"/>
            <w:vAlign w:val="bottom"/>
          </w:tcPr>
          <w:p w14:paraId="7CEFB126" w14:textId="29A6B4F6" w:rsidR="00141853" w:rsidRPr="00426F74" w:rsidRDefault="00141853" w:rsidP="00141853">
            <w:pPr>
              <w:jc w:val="center"/>
            </w:pPr>
            <w:r>
              <w:rPr>
                <w:rFonts w:ascii="Calibri" w:hAnsi="Calibri" w:cs="Calibri"/>
                <w:sz w:val="22"/>
                <w:szCs w:val="22"/>
              </w:rPr>
              <w:t>8</w:t>
            </w:r>
          </w:p>
        </w:tc>
        <w:tc>
          <w:tcPr>
            <w:tcW w:w="1077" w:type="dxa"/>
            <w:vAlign w:val="bottom"/>
          </w:tcPr>
          <w:p w14:paraId="126BFBB7" w14:textId="7B790A92" w:rsidR="00141853" w:rsidRPr="00426F74" w:rsidRDefault="00141853" w:rsidP="00141853">
            <w:pPr>
              <w:jc w:val="center"/>
            </w:pPr>
            <w:r>
              <w:rPr>
                <w:rFonts w:ascii="Calibri" w:hAnsi="Calibri" w:cs="Calibri"/>
                <w:sz w:val="22"/>
                <w:szCs w:val="22"/>
              </w:rPr>
              <w:t>9</w:t>
            </w:r>
          </w:p>
        </w:tc>
        <w:tc>
          <w:tcPr>
            <w:tcW w:w="1077" w:type="dxa"/>
            <w:vAlign w:val="bottom"/>
          </w:tcPr>
          <w:p w14:paraId="53A4472A" w14:textId="6D976EA2" w:rsidR="00141853" w:rsidRPr="00426F74" w:rsidRDefault="00141853" w:rsidP="00141853">
            <w:pPr>
              <w:jc w:val="center"/>
            </w:pPr>
            <w:r>
              <w:rPr>
                <w:rFonts w:ascii="Calibri" w:hAnsi="Calibri" w:cs="Calibri"/>
                <w:sz w:val="22"/>
                <w:szCs w:val="22"/>
              </w:rPr>
              <w:t>9</w:t>
            </w:r>
          </w:p>
        </w:tc>
      </w:tr>
      <w:tr w:rsidR="00141853" w:rsidRPr="00426F74" w14:paraId="6371A967" w14:textId="77777777" w:rsidTr="007C5303">
        <w:trPr>
          <w:tblHeader/>
          <w:jc w:val="center"/>
        </w:trPr>
        <w:tc>
          <w:tcPr>
            <w:tcW w:w="3231" w:type="dxa"/>
            <w:vAlign w:val="bottom"/>
          </w:tcPr>
          <w:p w14:paraId="3551679C" w14:textId="657C36C2" w:rsidR="00141853" w:rsidRPr="00426F74" w:rsidRDefault="00141853" w:rsidP="00141853">
            <w:pPr>
              <w:jc w:val="left"/>
            </w:pPr>
            <w:r>
              <w:rPr>
                <w:rFonts w:ascii="Calibri" w:hAnsi="Calibri" w:cs="Calibri"/>
                <w:sz w:val="22"/>
                <w:szCs w:val="22"/>
              </w:rPr>
              <w:t>Židovská</w:t>
            </w:r>
          </w:p>
        </w:tc>
        <w:tc>
          <w:tcPr>
            <w:tcW w:w="1077" w:type="dxa"/>
            <w:vAlign w:val="bottom"/>
          </w:tcPr>
          <w:p w14:paraId="0F00994D" w14:textId="694D9EB2" w:rsidR="00141853" w:rsidRPr="00426F74" w:rsidRDefault="00141853" w:rsidP="00141853">
            <w:pPr>
              <w:jc w:val="center"/>
            </w:pPr>
            <w:r>
              <w:rPr>
                <w:rFonts w:ascii="Calibri" w:hAnsi="Calibri" w:cs="Calibri"/>
                <w:sz w:val="22"/>
                <w:szCs w:val="22"/>
              </w:rPr>
              <w:t>1</w:t>
            </w:r>
          </w:p>
        </w:tc>
        <w:tc>
          <w:tcPr>
            <w:tcW w:w="1077" w:type="dxa"/>
            <w:vAlign w:val="bottom"/>
          </w:tcPr>
          <w:p w14:paraId="2505D958" w14:textId="61CDF3EB" w:rsidR="00141853" w:rsidRPr="00426F74" w:rsidRDefault="00141853" w:rsidP="00141853">
            <w:pPr>
              <w:jc w:val="center"/>
            </w:pPr>
            <w:r>
              <w:rPr>
                <w:rFonts w:ascii="Calibri" w:hAnsi="Calibri" w:cs="Calibri"/>
                <w:sz w:val="22"/>
                <w:szCs w:val="22"/>
              </w:rPr>
              <w:t>1</w:t>
            </w:r>
          </w:p>
        </w:tc>
        <w:tc>
          <w:tcPr>
            <w:tcW w:w="1077" w:type="dxa"/>
            <w:vAlign w:val="bottom"/>
          </w:tcPr>
          <w:p w14:paraId="6C6FCB8C" w14:textId="351375BC" w:rsidR="00141853" w:rsidRPr="00426F74" w:rsidRDefault="00141853" w:rsidP="00141853">
            <w:pPr>
              <w:jc w:val="center"/>
            </w:pPr>
            <w:r>
              <w:rPr>
                <w:rFonts w:ascii="Calibri" w:hAnsi="Calibri" w:cs="Calibri"/>
                <w:sz w:val="22"/>
                <w:szCs w:val="22"/>
              </w:rPr>
              <w:t>1</w:t>
            </w:r>
          </w:p>
        </w:tc>
        <w:tc>
          <w:tcPr>
            <w:tcW w:w="1077" w:type="dxa"/>
            <w:vAlign w:val="bottom"/>
          </w:tcPr>
          <w:p w14:paraId="17E0BE1C" w14:textId="46986E56" w:rsidR="00141853" w:rsidRPr="00426F74" w:rsidRDefault="00141853" w:rsidP="00141853">
            <w:pPr>
              <w:jc w:val="center"/>
            </w:pPr>
            <w:r>
              <w:rPr>
                <w:rFonts w:ascii="Calibri" w:hAnsi="Calibri" w:cs="Calibri"/>
                <w:sz w:val="22"/>
                <w:szCs w:val="22"/>
              </w:rPr>
              <w:t>1</w:t>
            </w:r>
          </w:p>
        </w:tc>
        <w:tc>
          <w:tcPr>
            <w:tcW w:w="1077" w:type="dxa"/>
            <w:vAlign w:val="bottom"/>
          </w:tcPr>
          <w:p w14:paraId="23EA0294" w14:textId="60CDA631" w:rsidR="00141853" w:rsidRPr="00426F74" w:rsidRDefault="00141853" w:rsidP="00141853">
            <w:pPr>
              <w:jc w:val="center"/>
            </w:pPr>
            <w:r>
              <w:rPr>
                <w:rFonts w:ascii="Calibri" w:hAnsi="Calibri" w:cs="Calibri"/>
                <w:sz w:val="22"/>
                <w:szCs w:val="22"/>
              </w:rPr>
              <w:t>1</w:t>
            </w:r>
          </w:p>
        </w:tc>
      </w:tr>
      <w:tr w:rsidR="00141853" w:rsidRPr="00426F74" w14:paraId="65C5B47C" w14:textId="77777777" w:rsidTr="007C5303">
        <w:trPr>
          <w:tblHeader/>
          <w:jc w:val="center"/>
        </w:trPr>
        <w:tc>
          <w:tcPr>
            <w:tcW w:w="3231" w:type="dxa"/>
            <w:vAlign w:val="bottom"/>
          </w:tcPr>
          <w:p w14:paraId="26FDA038" w14:textId="4C6D948B" w:rsidR="00141853" w:rsidRPr="00426F74" w:rsidRDefault="00141853" w:rsidP="00141853">
            <w:pPr>
              <w:jc w:val="left"/>
            </w:pPr>
            <w:r>
              <w:rPr>
                <w:rFonts w:ascii="Calibri" w:hAnsi="Calibri" w:cs="Calibri"/>
                <w:sz w:val="22"/>
                <w:szCs w:val="22"/>
              </w:rPr>
              <w:t>Moravská</w:t>
            </w:r>
          </w:p>
        </w:tc>
        <w:tc>
          <w:tcPr>
            <w:tcW w:w="1077" w:type="dxa"/>
            <w:vAlign w:val="bottom"/>
          </w:tcPr>
          <w:p w14:paraId="6AF84681" w14:textId="22E8842C" w:rsidR="00141853" w:rsidRPr="00426F74" w:rsidRDefault="00141853" w:rsidP="00141853">
            <w:pPr>
              <w:jc w:val="center"/>
            </w:pPr>
            <w:r>
              <w:rPr>
                <w:rFonts w:ascii="Calibri" w:hAnsi="Calibri" w:cs="Calibri"/>
                <w:sz w:val="22"/>
                <w:szCs w:val="22"/>
              </w:rPr>
              <w:t>7</w:t>
            </w:r>
          </w:p>
        </w:tc>
        <w:tc>
          <w:tcPr>
            <w:tcW w:w="1077" w:type="dxa"/>
            <w:vAlign w:val="bottom"/>
          </w:tcPr>
          <w:p w14:paraId="51B5AB9D" w14:textId="4D234022" w:rsidR="00141853" w:rsidRPr="00426F74" w:rsidRDefault="00141853" w:rsidP="00141853">
            <w:pPr>
              <w:jc w:val="center"/>
            </w:pPr>
            <w:r>
              <w:rPr>
                <w:rFonts w:ascii="Calibri" w:hAnsi="Calibri" w:cs="Calibri"/>
                <w:sz w:val="22"/>
                <w:szCs w:val="22"/>
              </w:rPr>
              <w:t>7</w:t>
            </w:r>
          </w:p>
        </w:tc>
        <w:tc>
          <w:tcPr>
            <w:tcW w:w="1077" w:type="dxa"/>
            <w:vAlign w:val="bottom"/>
          </w:tcPr>
          <w:p w14:paraId="41857D7A" w14:textId="5C604260" w:rsidR="00141853" w:rsidRPr="00426F74" w:rsidRDefault="00141853" w:rsidP="00141853">
            <w:pPr>
              <w:jc w:val="center"/>
            </w:pPr>
            <w:r>
              <w:rPr>
                <w:rFonts w:ascii="Calibri" w:hAnsi="Calibri" w:cs="Calibri"/>
                <w:sz w:val="22"/>
                <w:szCs w:val="22"/>
              </w:rPr>
              <w:t>7</w:t>
            </w:r>
          </w:p>
        </w:tc>
        <w:tc>
          <w:tcPr>
            <w:tcW w:w="1077" w:type="dxa"/>
            <w:vAlign w:val="bottom"/>
          </w:tcPr>
          <w:p w14:paraId="392B8A30" w14:textId="73DF3789" w:rsidR="00141853" w:rsidRPr="00426F74" w:rsidRDefault="00141853" w:rsidP="00141853">
            <w:pPr>
              <w:jc w:val="center"/>
            </w:pPr>
            <w:r>
              <w:rPr>
                <w:rFonts w:ascii="Calibri" w:hAnsi="Calibri" w:cs="Calibri"/>
                <w:sz w:val="22"/>
                <w:szCs w:val="22"/>
              </w:rPr>
              <w:t>7</w:t>
            </w:r>
          </w:p>
        </w:tc>
        <w:tc>
          <w:tcPr>
            <w:tcW w:w="1077" w:type="dxa"/>
            <w:vAlign w:val="bottom"/>
          </w:tcPr>
          <w:p w14:paraId="5661173F" w14:textId="55627ABB" w:rsidR="00141853" w:rsidRPr="00426F74" w:rsidRDefault="00141853" w:rsidP="00141853">
            <w:pPr>
              <w:jc w:val="center"/>
            </w:pPr>
            <w:r>
              <w:rPr>
                <w:rFonts w:ascii="Calibri" w:hAnsi="Calibri" w:cs="Calibri"/>
                <w:sz w:val="22"/>
                <w:szCs w:val="22"/>
              </w:rPr>
              <w:t>7</w:t>
            </w:r>
          </w:p>
        </w:tc>
      </w:tr>
      <w:tr w:rsidR="00141853" w:rsidRPr="00426F74" w14:paraId="4814C7B7" w14:textId="77777777" w:rsidTr="007C5303">
        <w:trPr>
          <w:tblHeader/>
          <w:jc w:val="center"/>
        </w:trPr>
        <w:tc>
          <w:tcPr>
            <w:tcW w:w="3231" w:type="dxa"/>
            <w:vAlign w:val="bottom"/>
          </w:tcPr>
          <w:p w14:paraId="289CEC41" w14:textId="3E0B2A6E" w:rsidR="00141853" w:rsidRPr="00426F74" w:rsidRDefault="00141853" w:rsidP="00141853">
            <w:pPr>
              <w:jc w:val="left"/>
            </w:pPr>
            <w:r>
              <w:rPr>
                <w:rFonts w:ascii="Calibri" w:hAnsi="Calibri" w:cs="Calibri"/>
                <w:sz w:val="22"/>
                <w:szCs w:val="22"/>
              </w:rPr>
              <w:t>Bulharská</w:t>
            </w:r>
          </w:p>
        </w:tc>
        <w:tc>
          <w:tcPr>
            <w:tcW w:w="1077" w:type="dxa"/>
            <w:vAlign w:val="bottom"/>
          </w:tcPr>
          <w:p w14:paraId="27204A63" w14:textId="4D679746" w:rsidR="00141853" w:rsidRPr="00426F74" w:rsidRDefault="00141853" w:rsidP="00141853">
            <w:pPr>
              <w:jc w:val="center"/>
            </w:pPr>
            <w:r>
              <w:rPr>
                <w:rFonts w:ascii="Calibri" w:hAnsi="Calibri" w:cs="Calibri"/>
                <w:sz w:val="22"/>
                <w:szCs w:val="22"/>
              </w:rPr>
              <w:t>2</w:t>
            </w:r>
          </w:p>
        </w:tc>
        <w:tc>
          <w:tcPr>
            <w:tcW w:w="1077" w:type="dxa"/>
            <w:vAlign w:val="bottom"/>
          </w:tcPr>
          <w:p w14:paraId="1CD28A77" w14:textId="1A23460D" w:rsidR="00141853" w:rsidRPr="00426F74" w:rsidRDefault="00141853" w:rsidP="00141853">
            <w:pPr>
              <w:jc w:val="center"/>
            </w:pPr>
            <w:r>
              <w:rPr>
                <w:rFonts w:ascii="Calibri" w:hAnsi="Calibri" w:cs="Calibri"/>
                <w:sz w:val="22"/>
                <w:szCs w:val="22"/>
              </w:rPr>
              <w:t>3</w:t>
            </w:r>
          </w:p>
        </w:tc>
        <w:tc>
          <w:tcPr>
            <w:tcW w:w="1077" w:type="dxa"/>
            <w:vAlign w:val="bottom"/>
          </w:tcPr>
          <w:p w14:paraId="5416AA2E" w14:textId="56433098" w:rsidR="00141853" w:rsidRPr="00426F74" w:rsidRDefault="00141853" w:rsidP="00141853">
            <w:pPr>
              <w:jc w:val="center"/>
            </w:pPr>
            <w:r>
              <w:rPr>
                <w:rFonts w:ascii="Calibri" w:hAnsi="Calibri" w:cs="Calibri"/>
                <w:sz w:val="22"/>
                <w:szCs w:val="22"/>
              </w:rPr>
              <w:t>4</w:t>
            </w:r>
          </w:p>
        </w:tc>
        <w:tc>
          <w:tcPr>
            <w:tcW w:w="1077" w:type="dxa"/>
            <w:vAlign w:val="bottom"/>
          </w:tcPr>
          <w:p w14:paraId="048B9456" w14:textId="6AAC292F" w:rsidR="00141853" w:rsidRPr="00426F74" w:rsidRDefault="00141853" w:rsidP="00141853">
            <w:pPr>
              <w:jc w:val="center"/>
            </w:pPr>
            <w:r>
              <w:rPr>
                <w:rFonts w:ascii="Calibri" w:hAnsi="Calibri" w:cs="Calibri"/>
                <w:sz w:val="22"/>
                <w:szCs w:val="22"/>
              </w:rPr>
              <w:t>4</w:t>
            </w:r>
          </w:p>
        </w:tc>
        <w:tc>
          <w:tcPr>
            <w:tcW w:w="1077" w:type="dxa"/>
            <w:vAlign w:val="bottom"/>
          </w:tcPr>
          <w:p w14:paraId="79C650C0" w14:textId="69B4D47A" w:rsidR="00141853" w:rsidRPr="00426F74" w:rsidRDefault="00141853" w:rsidP="00141853">
            <w:pPr>
              <w:jc w:val="center"/>
            </w:pPr>
            <w:r>
              <w:rPr>
                <w:rFonts w:ascii="Calibri" w:hAnsi="Calibri" w:cs="Calibri"/>
                <w:sz w:val="22"/>
                <w:szCs w:val="22"/>
              </w:rPr>
              <w:t>4</w:t>
            </w:r>
          </w:p>
        </w:tc>
      </w:tr>
      <w:tr w:rsidR="00141853" w:rsidRPr="00426F74" w14:paraId="38999D00" w14:textId="77777777" w:rsidTr="007C5303">
        <w:trPr>
          <w:tblHeader/>
          <w:jc w:val="center"/>
        </w:trPr>
        <w:tc>
          <w:tcPr>
            <w:tcW w:w="3231" w:type="dxa"/>
            <w:vAlign w:val="bottom"/>
          </w:tcPr>
          <w:p w14:paraId="051E6F31" w14:textId="59483572" w:rsidR="00141853" w:rsidRPr="00426F74" w:rsidRDefault="00141853" w:rsidP="00141853">
            <w:pPr>
              <w:jc w:val="left"/>
            </w:pPr>
            <w:r>
              <w:rPr>
                <w:rFonts w:ascii="Calibri" w:hAnsi="Calibri" w:cs="Calibri"/>
                <w:sz w:val="22"/>
                <w:szCs w:val="22"/>
              </w:rPr>
              <w:t>Rumunská</w:t>
            </w:r>
          </w:p>
        </w:tc>
        <w:tc>
          <w:tcPr>
            <w:tcW w:w="1077" w:type="dxa"/>
            <w:vAlign w:val="bottom"/>
          </w:tcPr>
          <w:p w14:paraId="7B9C5236" w14:textId="42372A2F" w:rsidR="00141853" w:rsidRPr="00426F74" w:rsidRDefault="00141853" w:rsidP="00141853">
            <w:pPr>
              <w:jc w:val="center"/>
            </w:pPr>
            <w:r>
              <w:rPr>
                <w:rFonts w:ascii="Calibri" w:hAnsi="Calibri" w:cs="Calibri"/>
                <w:sz w:val="22"/>
                <w:szCs w:val="22"/>
              </w:rPr>
              <w:t>5</w:t>
            </w:r>
          </w:p>
        </w:tc>
        <w:tc>
          <w:tcPr>
            <w:tcW w:w="1077" w:type="dxa"/>
            <w:vAlign w:val="bottom"/>
          </w:tcPr>
          <w:p w14:paraId="370AD04A" w14:textId="595A29C2" w:rsidR="00141853" w:rsidRPr="00426F74" w:rsidRDefault="00141853" w:rsidP="00141853">
            <w:pPr>
              <w:jc w:val="center"/>
            </w:pPr>
            <w:r>
              <w:rPr>
                <w:rFonts w:ascii="Calibri" w:hAnsi="Calibri" w:cs="Calibri"/>
                <w:sz w:val="22"/>
                <w:szCs w:val="22"/>
              </w:rPr>
              <w:t>5</w:t>
            </w:r>
          </w:p>
        </w:tc>
        <w:tc>
          <w:tcPr>
            <w:tcW w:w="1077" w:type="dxa"/>
            <w:vAlign w:val="bottom"/>
          </w:tcPr>
          <w:p w14:paraId="34E5654D" w14:textId="7300EBC3" w:rsidR="00141853" w:rsidRPr="00426F74" w:rsidRDefault="00141853" w:rsidP="00141853">
            <w:pPr>
              <w:jc w:val="center"/>
            </w:pPr>
            <w:r>
              <w:rPr>
                <w:rFonts w:ascii="Calibri" w:hAnsi="Calibri" w:cs="Calibri"/>
                <w:sz w:val="22"/>
                <w:szCs w:val="22"/>
              </w:rPr>
              <w:t>5</w:t>
            </w:r>
          </w:p>
        </w:tc>
        <w:tc>
          <w:tcPr>
            <w:tcW w:w="1077" w:type="dxa"/>
            <w:vAlign w:val="bottom"/>
          </w:tcPr>
          <w:p w14:paraId="5F6BFA36" w14:textId="05619473" w:rsidR="00141853" w:rsidRPr="00426F74" w:rsidRDefault="00141853" w:rsidP="00141853">
            <w:pPr>
              <w:jc w:val="center"/>
            </w:pPr>
            <w:r>
              <w:rPr>
                <w:rFonts w:ascii="Calibri" w:hAnsi="Calibri" w:cs="Calibri"/>
                <w:sz w:val="22"/>
                <w:szCs w:val="22"/>
              </w:rPr>
              <w:t>5</w:t>
            </w:r>
          </w:p>
        </w:tc>
        <w:tc>
          <w:tcPr>
            <w:tcW w:w="1077" w:type="dxa"/>
            <w:vAlign w:val="bottom"/>
          </w:tcPr>
          <w:p w14:paraId="4C6ACF25" w14:textId="0B88B5F4" w:rsidR="00141853" w:rsidRPr="00426F74" w:rsidRDefault="00141853" w:rsidP="00141853">
            <w:pPr>
              <w:jc w:val="center"/>
            </w:pPr>
            <w:r>
              <w:rPr>
                <w:rFonts w:ascii="Calibri" w:hAnsi="Calibri" w:cs="Calibri"/>
                <w:sz w:val="22"/>
                <w:szCs w:val="22"/>
              </w:rPr>
              <w:t>5</w:t>
            </w:r>
          </w:p>
        </w:tc>
      </w:tr>
      <w:tr w:rsidR="00141853" w:rsidRPr="00426F74" w14:paraId="047F1D16" w14:textId="77777777" w:rsidTr="007C5303">
        <w:trPr>
          <w:tblHeader/>
          <w:jc w:val="center"/>
        </w:trPr>
        <w:tc>
          <w:tcPr>
            <w:tcW w:w="3231" w:type="dxa"/>
            <w:vAlign w:val="bottom"/>
          </w:tcPr>
          <w:p w14:paraId="09637179" w14:textId="16B911A2" w:rsidR="00141853" w:rsidRPr="00426F74" w:rsidRDefault="00141853" w:rsidP="00141853">
            <w:pPr>
              <w:jc w:val="left"/>
            </w:pPr>
            <w:r>
              <w:rPr>
                <w:rFonts w:ascii="Calibri" w:hAnsi="Calibri" w:cs="Calibri"/>
                <w:sz w:val="22"/>
                <w:szCs w:val="22"/>
              </w:rPr>
              <w:t>Rakúska</w:t>
            </w:r>
          </w:p>
        </w:tc>
        <w:tc>
          <w:tcPr>
            <w:tcW w:w="1077" w:type="dxa"/>
            <w:vAlign w:val="bottom"/>
          </w:tcPr>
          <w:p w14:paraId="4704D6F8" w14:textId="54E62BF9" w:rsidR="00141853" w:rsidRPr="00426F74" w:rsidRDefault="00141853" w:rsidP="00141853">
            <w:pPr>
              <w:jc w:val="center"/>
            </w:pPr>
            <w:r>
              <w:rPr>
                <w:rFonts w:ascii="Calibri" w:hAnsi="Calibri" w:cs="Calibri"/>
                <w:sz w:val="22"/>
                <w:szCs w:val="22"/>
              </w:rPr>
              <w:t>5</w:t>
            </w:r>
          </w:p>
        </w:tc>
        <w:tc>
          <w:tcPr>
            <w:tcW w:w="1077" w:type="dxa"/>
            <w:vAlign w:val="bottom"/>
          </w:tcPr>
          <w:p w14:paraId="1FB7C1C9" w14:textId="1D31CB2C" w:rsidR="00141853" w:rsidRPr="00426F74" w:rsidRDefault="00141853" w:rsidP="00141853">
            <w:pPr>
              <w:jc w:val="center"/>
            </w:pPr>
            <w:r>
              <w:rPr>
                <w:rFonts w:ascii="Calibri" w:hAnsi="Calibri" w:cs="Calibri"/>
                <w:sz w:val="22"/>
                <w:szCs w:val="22"/>
              </w:rPr>
              <w:t>5</w:t>
            </w:r>
          </w:p>
        </w:tc>
        <w:tc>
          <w:tcPr>
            <w:tcW w:w="1077" w:type="dxa"/>
            <w:vAlign w:val="bottom"/>
          </w:tcPr>
          <w:p w14:paraId="6791FFC1" w14:textId="1A4C170D" w:rsidR="00141853" w:rsidRPr="00426F74" w:rsidRDefault="00141853" w:rsidP="00141853">
            <w:pPr>
              <w:jc w:val="center"/>
            </w:pPr>
            <w:r>
              <w:rPr>
                <w:rFonts w:ascii="Calibri" w:hAnsi="Calibri" w:cs="Calibri"/>
                <w:sz w:val="22"/>
                <w:szCs w:val="22"/>
              </w:rPr>
              <w:t>5</w:t>
            </w:r>
          </w:p>
        </w:tc>
        <w:tc>
          <w:tcPr>
            <w:tcW w:w="1077" w:type="dxa"/>
            <w:vAlign w:val="bottom"/>
          </w:tcPr>
          <w:p w14:paraId="670D70BE" w14:textId="741D0CCF" w:rsidR="00141853" w:rsidRPr="00426F74" w:rsidRDefault="00141853" w:rsidP="00141853">
            <w:pPr>
              <w:jc w:val="center"/>
            </w:pPr>
            <w:r>
              <w:rPr>
                <w:rFonts w:ascii="Calibri" w:hAnsi="Calibri" w:cs="Calibri"/>
                <w:sz w:val="22"/>
                <w:szCs w:val="22"/>
              </w:rPr>
              <w:t>6</w:t>
            </w:r>
          </w:p>
        </w:tc>
        <w:tc>
          <w:tcPr>
            <w:tcW w:w="1077" w:type="dxa"/>
            <w:vAlign w:val="bottom"/>
          </w:tcPr>
          <w:p w14:paraId="09AB1CDE" w14:textId="19815F28" w:rsidR="00141853" w:rsidRPr="00426F74" w:rsidRDefault="00141853" w:rsidP="00141853">
            <w:pPr>
              <w:jc w:val="center"/>
            </w:pPr>
            <w:r>
              <w:rPr>
                <w:rFonts w:ascii="Calibri" w:hAnsi="Calibri" w:cs="Calibri"/>
                <w:sz w:val="22"/>
                <w:szCs w:val="22"/>
              </w:rPr>
              <w:t>7</w:t>
            </w:r>
          </w:p>
        </w:tc>
      </w:tr>
      <w:tr w:rsidR="00141853" w:rsidRPr="00426F74" w14:paraId="3D4F99B9" w14:textId="77777777" w:rsidTr="007C5303">
        <w:trPr>
          <w:tblHeader/>
          <w:jc w:val="center"/>
        </w:trPr>
        <w:tc>
          <w:tcPr>
            <w:tcW w:w="3231" w:type="dxa"/>
            <w:vAlign w:val="bottom"/>
          </w:tcPr>
          <w:p w14:paraId="14C28556" w14:textId="132C420C" w:rsidR="00141853" w:rsidRPr="00426F74" w:rsidRDefault="00141853" w:rsidP="00141853">
            <w:pPr>
              <w:jc w:val="left"/>
            </w:pPr>
            <w:r>
              <w:rPr>
                <w:rFonts w:ascii="Calibri" w:hAnsi="Calibri" w:cs="Calibri"/>
                <w:sz w:val="22"/>
                <w:szCs w:val="22"/>
              </w:rPr>
              <w:t>Vietnamská</w:t>
            </w:r>
          </w:p>
        </w:tc>
        <w:tc>
          <w:tcPr>
            <w:tcW w:w="1077" w:type="dxa"/>
            <w:vAlign w:val="bottom"/>
          </w:tcPr>
          <w:p w14:paraId="0581FB81" w14:textId="23EE88E6" w:rsidR="00141853" w:rsidRPr="00426F74" w:rsidRDefault="00141853" w:rsidP="00141853">
            <w:pPr>
              <w:jc w:val="center"/>
            </w:pPr>
            <w:r>
              <w:rPr>
                <w:rFonts w:ascii="Calibri" w:hAnsi="Calibri" w:cs="Calibri"/>
                <w:sz w:val="22"/>
                <w:szCs w:val="22"/>
              </w:rPr>
              <w:t>14</w:t>
            </w:r>
          </w:p>
        </w:tc>
        <w:tc>
          <w:tcPr>
            <w:tcW w:w="1077" w:type="dxa"/>
            <w:vAlign w:val="bottom"/>
          </w:tcPr>
          <w:p w14:paraId="669A2D5F" w14:textId="11069E6C" w:rsidR="00141853" w:rsidRPr="00426F74" w:rsidRDefault="00141853" w:rsidP="00141853">
            <w:pPr>
              <w:jc w:val="center"/>
            </w:pPr>
            <w:r>
              <w:rPr>
                <w:rFonts w:ascii="Calibri" w:hAnsi="Calibri" w:cs="Calibri"/>
                <w:sz w:val="22"/>
                <w:szCs w:val="22"/>
              </w:rPr>
              <w:t>13</w:t>
            </w:r>
          </w:p>
        </w:tc>
        <w:tc>
          <w:tcPr>
            <w:tcW w:w="1077" w:type="dxa"/>
            <w:vAlign w:val="bottom"/>
          </w:tcPr>
          <w:p w14:paraId="43CB877A" w14:textId="45F857EC" w:rsidR="00141853" w:rsidRPr="00426F74" w:rsidRDefault="00141853" w:rsidP="00141853">
            <w:pPr>
              <w:jc w:val="center"/>
            </w:pPr>
            <w:r>
              <w:rPr>
                <w:rFonts w:ascii="Calibri" w:hAnsi="Calibri" w:cs="Calibri"/>
                <w:sz w:val="22"/>
                <w:szCs w:val="22"/>
              </w:rPr>
              <w:t>14</w:t>
            </w:r>
          </w:p>
        </w:tc>
        <w:tc>
          <w:tcPr>
            <w:tcW w:w="1077" w:type="dxa"/>
            <w:vAlign w:val="bottom"/>
          </w:tcPr>
          <w:p w14:paraId="721937B9" w14:textId="6351C589" w:rsidR="00141853" w:rsidRPr="00426F74" w:rsidRDefault="00141853" w:rsidP="00141853">
            <w:pPr>
              <w:jc w:val="center"/>
            </w:pPr>
            <w:r>
              <w:rPr>
                <w:rFonts w:ascii="Calibri" w:hAnsi="Calibri" w:cs="Calibri"/>
                <w:sz w:val="22"/>
                <w:szCs w:val="22"/>
              </w:rPr>
              <w:t>14</w:t>
            </w:r>
          </w:p>
        </w:tc>
        <w:tc>
          <w:tcPr>
            <w:tcW w:w="1077" w:type="dxa"/>
            <w:vAlign w:val="bottom"/>
          </w:tcPr>
          <w:p w14:paraId="4C7B9D55" w14:textId="5313F993" w:rsidR="00141853" w:rsidRPr="00426F74" w:rsidRDefault="00141853" w:rsidP="00141853">
            <w:pPr>
              <w:jc w:val="center"/>
            </w:pPr>
            <w:r>
              <w:rPr>
                <w:rFonts w:ascii="Calibri" w:hAnsi="Calibri" w:cs="Calibri"/>
                <w:sz w:val="22"/>
                <w:szCs w:val="22"/>
              </w:rPr>
              <w:t>14</w:t>
            </w:r>
          </w:p>
        </w:tc>
      </w:tr>
      <w:tr w:rsidR="00141853" w:rsidRPr="00426F74" w14:paraId="49AA1F87" w14:textId="77777777" w:rsidTr="007C5303">
        <w:trPr>
          <w:tblHeader/>
          <w:jc w:val="center"/>
        </w:trPr>
        <w:tc>
          <w:tcPr>
            <w:tcW w:w="3231" w:type="dxa"/>
            <w:vAlign w:val="bottom"/>
          </w:tcPr>
          <w:p w14:paraId="41226F8B" w14:textId="405A7051" w:rsidR="00141853" w:rsidRPr="00426F74" w:rsidRDefault="00141853" w:rsidP="00141853">
            <w:pPr>
              <w:jc w:val="left"/>
            </w:pPr>
            <w:r>
              <w:rPr>
                <w:rFonts w:ascii="Calibri" w:hAnsi="Calibri" w:cs="Calibri"/>
                <w:sz w:val="22"/>
                <w:szCs w:val="22"/>
              </w:rPr>
              <w:t>Iná a nezistená</w:t>
            </w:r>
          </w:p>
        </w:tc>
        <w:tc>
          <w:tcPr>
            <w:tcW w:w="1077" w:type="dxa"/>
            <w:vAlign w:val="bottom"/>
          </w:tcPr>
          <w:p w14:paraId="611DF798" w14:textId="64CCB5FB" w:rsidR="00141853" w:rsidRPr="00426F74" w:rsidRDefault="00141853" w:rsidP="00141853">
            <w:pPr>
              <w:jc w:val="center"/>
            </w:pPr>
            <w:r>
              <w:rPr>
                <w:rFonts w:ascii="Calibri" w:hAnsi="Calibri" w:cs="Calibri"/>
                <w:sz w:val="22"/>
                <w:szCs w:val="22"/>
              </w:rPr>
              <w:t>2</w:t>
            </w:r>
            <w:r w:rsidR="00E56AE9">
              <w:rPr>
                <w:rFonts w:ascii="Calibri" w:hAnsi="Calibri" w:cs="Calibri"/>
                <w:sz w:val="22"/>
                <w:szCs w:val="22"/>
              </w:rPr>
              <w:t xml:space="preserve"> </w:t>
            </w:r>
            <w:r>
              <w:rPr>
                <w:rFonts w:ascii="Calibri" w:hAnsi="Calibri" w:cs="Calibri"/>
                <w:sz w:val="22"/>
                <w:szCs w:val="22"/>
              </w:rPr>
              <w:t>001</w:t>
            </w:r>
          </w:p>
        </w:tc>
        <w:tc>
          <w:tcPr>
            <w:tcW w:w="1077" w:type="dxa"/>
            <w:vAlign w:val="bottom"/>
          </w:tcPr>
          <w:p w14:paraId="55B062BA" w14:textId="5CEF5640" w:rsidR="00141853" w:rsidRPr="00426F74" w:rsidRDefault="00141853" w:rsidP="00141853">
            <w:pPr>
              <w:jc w:val="center"/>
            </w:pPr>
            <w:r>
              <w:rPr>
                <w:rFonts w:ascii="Calibri" w:hAnsi="Calibri" w:cs="Calibri"/>
                <w:sz w:val="22"/>
                <w:szCs w:val="22"/>
              </w:rPr>
              <w:t>1</w:t>
            </w:r>
            <w:r w:rsidR="00E56AE9">
              <w:rPr>
                <w:rFonts w:ascii="Calibri" w:hAnsi="Calibri" w:cs="Calibri"/>
                <w:sz w:val="22"/>
                <w:szCs w:val="22"/>
              </w:rPr>
              <w:t xml:space="preserve"> </w:t>
            </w:r>
            <w:r>
              <w:rPr>
                <w:rFonts w:ascii="Calibri" w:hAnsi="Calibri" w:cs="Calibri"/>
                <w:sz w:val="22"/>
                <w:szCs w:val="22"/>
              </w:rPr>
              <w:t>959</w:t>
            </w:r>
          </w:p>
        </w:tc>
        <w:tc>
          <w:tcPr>
            <w:tcW w:w="1077" w:type="dxa"/>
            <w:vAlign w:val="bottom"/>
          </w:tcPr>
          <w:p w14:paraId="6AC8519C" w14:textId="6F34F030" w:rsidR="00141853" w:rsidRPr="00426F74" w:rsidRDefault="00141853" w:rsidP="00141853">
            <w:pPr>
              <w:jc w:val="center"/>
            </w:pPr>
            <w:r>
              <w:rPr>
                <w:rFonts w:ascii="Calibri" w:hAnsi="Calibri" w:cs="Calibri"/>
                <w:sz w:val="22"/>
                <w:szCs w:val="22"/>
              </w:rPr>
              <w:t>1</w:t>
            </w:r>
            <w:r w:rsidR="00E56AE9">
              <w:rPr>
                <w:rFonts w:ascii="Calibri" w:hAnsi="Calibri" w:cs="Calibri"/>
                <w:sz w:val="22"/>
                <w:szCs w:val="22"/>
              </w:rPr>
              <w:t xml:space="preserve"> </w:t>
            </w:r>
            <w:r>
              <w:rPr>
                <w:rFonts w:ascii="Calibri" w:hAnsi="Calibri" w:cs="Calibri"/>
                <w:sz w:val="22"/>
                <w:szCs w:val="22"/>
              </w:rPr>
              <w:t>908</w:t>
            </w:r>
          </w:p>
        </w:tc>
        <w:tc>
          <w:tcPr>
            <w:tcW w:w="1077" w:type="dxa"/>
            <w:vAlign w:val="bottom"/>
          </w:tcPr>
          <w:p w14:paraId="21EFB7EC" w14:textId="6D8DAD0E" w:rsidR="00141853" w:rsidRPr="00426F74" w:rsidRDefault="00141853" w:rsidP="00141853">
            <w:pPr>
              <w:jc w:val="center"/>
            </w:pPr>
            <w:r>
              <w:rPr>
                <w:rFonts w:ascii="Calibri" w:hAnsi="Calibri" w:cs="Calibri"/>
                <w:sz w:val="22"/>
                <w:szCs w:val="22"/>
              </w:rPr>
              <w:t>1</w:t>
            </w:r>
            <w:r w:rsidR="00E56AE9">
              <w:rPr>
                <w:rFonts w:ascii="Calibri" w:hAnsi="Calibri" w:cs="Calibri"/>
                <w:sz w:val="22"/>
                <w:szCs w:val="22"/>
              </w:rPr>
              <w:t xml:space="preserve"> </w:t>
            </w:r>
            <w:r>
              <w:rPr>
                <w:rFonts w:ascii="Calibri" w:hAnsi="Calibri" w:cs="Calibri"/>
                <w:sz w:val="22"/>
                <w:szCs w:val="22"/>
              </w:rPr>
              <w:t>874</w:t>
            </w:r>
          </w:p>
        </w:tc>
        <w:tc>
          <w:tcPr>
            <w:tcW w:w="1077" w:type="dxa"/>
            <w:vAlign w:val="bottom"/>
          </w:tcPr>
          <w:p w14:paraId="046FA218" w14:textId="74F4C746" w:rsidR="00141853" w:rsidRPr="00426F74" w:rsidRDefault="00141853" w:rsidP="00141853">
            <w:pPr>
              <w:jc w:val="center"/>
            </w:pPr>
            <w:r>
              <w:rPr>
                <w:rFonts w:ascii="Calibri" w:hAnsi="Calibri" w:cs="Calibri"/>
                <w:sz w:val="22"/>
                <w:szCs w:val="22"/>
              </w:rPr>
              <w:t>1</w:t>
            </w:r>
            <w:r w:rsidR="00E56AE9">
              <w:rPr>
                <w:rFonts w:ascii="Calibri" w:hAnsi="Calibri" w:cs="Calibri"/>
                <w:sz w:val="22"/>
                <w:szCs w:val="22"/>
              </w:rPr>
              <w:t xml:space="preserve"> </w:t>
            </w:r>
            <w:r>
              <w:rPr>
                <w:rFonts w:ascii="Calibri" w:hAnsi="Calibri" w:cs="Calibri"/>
                <w:sz w:val="22"/>
                <w:szCs w:val="22"/>
              </w:rPr>
              <w:t>836</w:t>
            </w:r>
          </w:p>
        </w:tc>
      </w:tr>
    </w:tbl>
    <w:p w14:paraId="1A7CB2C1" w14:textId="77777777" w:rsidR="009D777B" w:rsidRPr="00426F74" w:rsidRDefault="009D777B" w:rsidP="009D777B">
      <w:pPr>
        <w:jc w:val="left"/>
        <w:rPr>
          <w:sz w:val="20"/>
          <w:szCs w:val="20"/>
        </w:rPr>
      </w:pPr>
      <w:r w:rsidRPr="00426F74">
        <w:rPr>
          <w:sz w:val="20"/>
          <w:szCs w:val="20"/>
        </w:rPr>
        <w:tab/>
        <w:t>Zdroj: Štatistický úrad SR</w:t>
      </w:r>
    </w:p>
    <w:p w14:paraId="7AF37AD8" w14:textId="77777777" w:rsidR="009D777B" w:rsidRDefault="009D777B" w:rsidP="00F20A98">
      <w:pPr>
        <w:spacing w:line="276" w:lineRule="auto"/>
      </w:pPr>
    </w:p>
    <w:p w14:paraId="246DC4F2" w14:textId="72DF48A9" w:rsidR="00F20A98" w:rsidRPr="0090457E" w:rsidRDefault="00F20A98" w:rsidP="00F20A98">
      <w:pPr>
        <w:spacing w:line="276" w:lineRule="auto"/>
      </w:pPr>
      <w:r w:rsidRPr="0090457E">
        <w:t>Zdravotný stav obyvateľstva je výsledkom pôsobenia viacerých faktorov – ekonomickej a sociálnej situácie, výživových návykov, životného štýlu, úrovne zdravotníckej starostlivosti, ako aj stavu životného prostredia.</w:t>
      </w:r>
    </w:p>
    <w:p w14:paraId="222939A1" w14:textId="77777777" w:rsidR="00F20A98" w:rsidRPr="0090457E" w:rsidRDefault="00F20A98" w:rsidP="00F20A98">
      <w:pPr>
        <w:spacing w:line="276" w:lineRule="auto"/>
      </w:pPr>
      <w:r w:rsidRPr="0090457E">
        <w:t>Základným ukazovateľom úrovne životných podmienok obyvateľstva a úmrtnostných pomerov je stredná dĺžka života pri narodení. Medzi ďalšie ukazovatele zaradzujeme celkovú úmrtnosť, dojčenskú a novorodeneckú úmrtnosť, štruktúru príčin smrti a ďalšie.</w:t>
      </w:r>
    </w:p>
    <w:p w14:paraId="2294946E" w14:textId="77777777" w:rsidR="00F20A98" w:rsidRPr="0090457E" w:rsidRDefault="00F20A98" w:rsidP="00F20A98">
      <w:pPr>
        <w:spacing w:line="276" w:lineRule="auto"/>
      </w:pPr>
      <w:r w:rsidRPr="0090457E">
        <w:t>Pôrodnosť a úmrtnosť sú dva hlavné demografické procesy, ktoré významne ovplyvňujú populačný vývoj.</w:t>
      </w:r>
    </w:p>
    <w:p w14:paraId="390F099E" w14:textId="1E7292AF" w:rsidR="00F20A98" w:rsidRDefault="00F20A98" w:rsidP="00F20A98">
      <w:pPr>
        <w:spacing w:line="276" w:lineRule="auto"/>
      </w:pPr>
      <w:r w:rsidRPr="0090457E">
        <w:t xml:space="preserve">Stredná dĺžka života v Banskobystrickom kraji dosahuje hodnotu u mužov 71,31 a už žien 79,03 roku. Okres Žarnovica sa z pohľadu strednej dĺžky života pri narodení mužov pohybuje na štvrtom miesta a dosahuje úroveň 71,92 roka. Ženy so svojou strednou dĺžkou života 78,77 </w:t>
      </w:r>
      <w:r w:rsidRPr="0090457E">
        <w:lastRenderedPageBreak/>
        <w:t>roka sú v rámci okresov Banskobystrického kraja na šiestom mieste. Podrobný prehľad strednej dĺžky života okresov v </w:t>
      </w:r>
      <w:r w:rsidR="00E56AE9">
        <w:t>B</w:t>
      </w:r>
      <w:r w:rsidRPr="0090457E">
        <w:t>anskobystrickom kraji v roku 201</w:t>
      </w:r>
      <w:r w:rsidR="00E56AE9">
        <w:t>8</w:t>
      </w:r>
      <w:r w:rsidRPr="0090457E">
        <w:t xml:space="preserve"> je uvedený v nasledujúcej tabuľke.</w:t>
      </w:r>
    </w:p>
    <w:p w14:paraId="6C88E161" w14:textId="77777777" w:rsidR="009D777B" w:rsidRPr="0090457E" w:rsidRDefault="009D777B" w:rsidP="00F20A98">
      <w:pPr>
        <w:spacing w:line="276" w:lineRule="auto"/>
      </w:pPr>
    </w:p>
    <w:p w14:paraId="10F0BB15" w14:textId="5D46731C" w:rsidR="00F20A98" w:rsidRPr="0090457E" w:rsidRDefault="00F20A98" w:rsidP="00F20A98">
      <w:pPr>
        <w:pStyle w:val="Popis"/>
        <w:keepNext/>
      </w:pPr>
      <w:bookmarkStart w:id="34" w:name="_Toc350621"/>
      <w:r w:rsidRPr="0090457E">
        <w:t xml:space="preserve">Tab. </w:t>
      </w:r>
      <w:r w:rsidRPr="0090457E">
        <w:rPr>
          <w:noProof/>
        </w:rPr>
        <w:fldChar w:fldCharType="begin"/>
      </w:r>
      <w:r w:rsidRPr="0090457E">
        <w:rPr>
          <w:noProof/>
        </w:rPr>
        <w:instrText xml:space="preserve"> SEQ Tab. \* ARABIC </w:instrText>
      </w:r>
      <w:r w:rsidRPr="0090457E">
        <w:rPr>
          <w:noProof/>
        </w:rPr>
        <w:fldChar w:fldCharType="separate"/>
      </w:r>
      <w:r w:rsidR="00467FCC">
        <w:rPr>
          <w:noProof/>
        </w:rPr>
        <w:t>17</w:t>
      </w:r>
      <w:r w:rsidRPr="0090457E">
        <w:rPr>
          <w:noProof/>
        </w:rPr>
        <w:fldChar w:fldCharType="end"/>
      </w:r>
      <w:r w:rsidRPr="0090457E">
        <w:t xml:space="preserve"> - Stredná dĺžka života okresov banskobystrického kraja 201</w:t>
      </w:r>
      <w:bookmarkEnd w:id="34"/>
      <w:r w:rsidR="00E56AE9">
        <w:t>8</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6502"/>
        <w:gridCol w:w="1393"/>
        <w:gridCol w:w="1393"/>
      </w:tblGrid>
      <w:tr w:rsidR="00F20A98" w:rsidRPr="0090457E" w14:paraId="4756F000" w14:textId="77777777" w:rsidTr="00E02A01">
        <w:trPr>
          <w:trHeight w:val="300"/>
          <w:tblHeader/>
          <w:jc w:val="center"/>
        </w:trPr>
        <w:tc>
          <w:tcPr>
            <w:tcW w:w="350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7E45CF72" w14:textId="77777777" w:rsidR="00F20A98" w:rsidRPr="0090457E" w:rsidRDefault="00F20A98" w:rsidP="00C872C7">
            <w:pPr>
              <w:spacing w:before="100" w:beforeAutospacing="1" w:after="100" w:afterAutospacing="1" w:line="276" w:lineRule="auto"/>
              <w:jc w:val="center"/>
              <w:rPr>
                <w:b/>
                <w:i/>
              </w:rPr>
            </w:pPr>
            <w:r w:rsidRPr="0090457E">
              <w:rPr>
                <w:b/>
                <w:i/>
                <w:szCs w:val="22"/>
              </w:rPr>
              <w:t>Okres</w:t>
            </w:r>
          </w:p>
        </w:tc>
        <w:tc>
          <w:tcPr>
            <w:tcW w:w="75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573438CE" w14:textId="77777777" w:rsidR="00F20A98" w:rsidRPr="0090457E" w:rsidRDefault="00F20A98" w:rsidP="00C872C7">
            <w:pPr>
              <w:spacing w:before="100" w:beforeAutospacing="1" w:after="100" w:afterAutospacing="1" w:line="276" w:lineRule="auto"/>
              <w:jc w:val="center"/>
              <w:rPr>
                <w:b/>
                <w:i/>
              </w:rPr>
            </w:pPr>
            <w:r w:rsidRPr="0090457E">
              <w:rPr>
                <w:b/>
                <w:i/>
                <w:szCs w:val="22"/>
              </w:rPr>
              <w:t>Muži</w:t>
            </w:r>
          </w:p>
        </w:tc>
        <w:tc>
          <w:tcPr>
            <w:tcW w:w="750"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14:paraId="0974225D" w14:textId="77777777" w:rsidR="00F20A98" w:rsidRPr="0090457E" w:rsidRDefault="00F20A98" w:rsidP="00C872C7">
            <w:pPr>
              <w:spacing w:before="100" w:beforeAutospacing="1" w:after="100" w:afterAutospacing="1" w:line="276" w:lineRule="auto"/>
              <w:jc w:val="center"/>
              <w:rPr>
                <w:b/>
                <w:i/>
              </w:rPr>
            </w:pPr>
            <w:r w:rsidRPr="0090457E">
              <w:rPr>
                <w:b/>
                <w:i/>
                <w:szCs w:val="22"/>
              </w:rPr>
              <w:t>Ženy</w:t>
            </w:r>
          </w:p>
        </w:tc>
      </w:tr>
      <w:tr w:rsidR="00F808E1" w:rsidRPr="0090457E" w14:paraId="5AEA1F15" w14:textId="77777777" w:rsidTr="007C5303">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6D41FBE6" w14:textId="6934C40F" w:rsidR="00F808E1" w:rsidRPr="00E56AE9" w:rsidRDefault="00F808E1" w:rsidP="00F808E1">
            <w:pPr>
              <w:spacing w:before="100" w:beforeAutospacing="1" w:after="100" w:afterAutospacing="1" w:line="276" w:lineRule="auto"/>
              <w:jc w:val="center"/>
              <w:rPr>
                <w:rFonts w:ascii="Arial" w:hAnsi="Arial" w:cs="Arial"/>
                <w:sz w:val="20"/>
                <w:szCs w:val="20"/>
              </w:rPr>
            </w:pPr>
            <w:r>
              <w:rPr>
                <w:rFonts w:ascii="Arial" w:hAnsi="Arial" w:cs="Arial"/>
                <w:sz w:val="20"/>
                <w:szCs w:val="20"/>
              </w:rPr>
              <w:t>Banská Bystrica</w:t>
            </w:r>
          </w:p>
        </w:tc>
        <w:tc>
          <w:tcPr>
            <w:tcW w:w="750" w:type="pct"/>
            <w:tcBorders>
              <w:top w:val="single" w:sz="4" w:space="0" w:color="000000"/>
              <w:left w:val="single" w:sz="4" w:space="0" w:color="000000"/>
              <w:bottom w:val="single" w:sz="4" w:space="0" w:color="000000"/>
              <w:right w:val="single" w:sz="4" w:space="0" w:color="000000"/>
            </w:tcBorders>
            <w:noWrap/>
            <w:vAlign w:val="bottom"/>
            <w:hideMark/>
          </w:tcPr>
          <w:p w14:paraId="1769A6D6" w14:textId="7A93C8B9"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75,4</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4B321205" w14:textId="26EF8E5A"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82,33</w:t>
            </w:r>
          </w:p>
        </w:tc>
      </w:tr>
      <w:tr w:rsidR="00F808E1" w:rsidRPr="0090457E" w14:paraId="0280B159" w14:textId="77777777" w:rsidTr="007C5303">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tcPr>
          <w:p w14:paraId="62B75D97" w14:textId="1164B50E" w:rsidR="00F808E1" w:rsidRPr="00E56AE9" w:rsidRDefault="00F808E1" w:rsidP="00F808E1">
            <w:pPr>
              <w:spacing w:before="100" w:beforeAutospacing="1" w:after="100" w:afterAutospacing="1" w:line="276" w:lineRule="auto"/>
              <w:jc w:val="center"/>
              <w:rPr>
                <w:rFonts w:ascii="Arial" w:hAnsi="Arial" w:cs="Arial"/>
                <w:sz w:val="20"/>
                <w:szCs w:val="20"/>
              </w:rPr>
            </w:pPr>
            <w:r>
              <w:rPr>
                <w:rFonts w:ascii="Arial" w:hAnsi="Arial" w:cs="Arial"/>
                <w:sz w:val="20"/>
                <w:szCs w:val="20"/>
              </w:rPr>
              <w:t>Banská Štiavnica</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2F8E5873" w14:textId="2F947271"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71,96</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02E41184" w14:textId="38C85EF5"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79,87</w:t>
            </w:r>
          </w:p>
        </w:tc>
      </w:tr>
      <w:tr w:rsidR="00F808E1" w:rsidRPr="0090457E" w14:paraId="50323B41" w14:textId="77777777" w:rsidTr="007C5303">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tcPr>
          <w:p w14:paraId="1E20663F" w14:textId="5FECE314" w:rsidR="00F808E1" w:rsidRPr="0090457E" w:rsidRDefault="00F808E1" w:rsidP="00F808E1">
            <w:pPr>
              <w:spacing w:before="100" w:beforeAutospacing="1" w:after="100" w:afterAutospacing="1" w:line="276" w:lineRule="auto"/>
              <w:jc w:val="center"/>
            </w:pPr>
            <w:r>
              <w:rPr>
                <w:rFonts w:ascii="Arial" w:hAnsi="Arial" w:cs="Arial"/>
                <w:sz w:val="20"/>
                <w:szCs w:val="20"/>
              </w:rPr>
              <w:t>Brezno</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5BFF513A" w14:textId="5FD0FD1C"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72,03</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6CDC082B" w14:textId="793B512F"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80,27</w:t>
            </w:r>
          </w:p>
        </w:tc>
      </w:tr>
      <w:tr w:rsidR="00F808E1" w:rsidRPr="0090457E" w14:paraId="17DBB989"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5A0046E2" w14:textId="24BE5645" w:rsidR="00F808E1" w:rsidRPr="0090457E" w:rsidRDefault="00F808E1" w:rsidP="00F808E1">
            <w:pPr>
              <w:spacing w:before="100" w:beforeAutospacing="1" w:after="100" w:afterAutospacing="1" w:line="276" w:lineRule="auto"/>
              <w:jc w:val="center"/>
            </w:pPr>
            <w:r>
              <w:rPr>
                <w:rFonts w:ascii="Arial" w:hAnsi="Arial" w:cs="Arial"/>
                <w:sz w:val="20"/>
                <w:szCs w:val="20"/>
              </w:rPr>
              <w:t>Detva</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57AC41BD" w14:textId="4AB5C32D"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73,22</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0662D03F" w14:textId="54F686D0"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80,98</w:t>
            </w:r>
          </w:p>
        </w:tc>
      </w:tr>
      <w:tr w:rsidR="00F808E1" w:rsidRPr="0090457E" w14:paraId="3BBE0616"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63697C88" w14:textId="761E5EC1" w:rsidR="00F808E1" w:rsidRPr="0090457E" w:rsidRDefault="00F808E1" w:rsidP="00F808E1">
            <w:pPr>
              <w:spacing w:before="100" w:beforeAutospacing="1" w:after="100" w:afterAutospacing="1" w:line="276" w:lineRule="auto"/>
              <w:jc w:val="center"/>
            </w:pPr>
            <w:r>
              <w:rPr>
                <w:rFonts w:ascii="Arial" w:hAnsi="Arial" w:cs="Arial"/>
                <w:sz w:val="20"/>
                <w:szCs w:val="20"/>
              </w:rPr>
              <w:t>Krupina</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60DB5D59" w14:textId="2EA36ACE"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71,28</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5A990768" w14:textId="36B3A14B"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78,24</w:t>
            </w:r>
          </w:p>
        </w:tc>
      </w:tr>
      <w:tr w:rsidR="00F808E1" w:rsidRPr="0090457E" w14:paraId="57C49B09"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03FC43A7" w14:textId="29EB838C" w:rsidR="00F808E1" w:rsidRPr="0090457E" w:rsidRDefault="00F808E1" w:rsidP="00F808E1">
            <w:pPr>
              <w:spacing w:before="100" w:beforeAutospacing="1" w:after="100" w:afterAutospacing="1" w:line="276" w:lineRule="auto"/>
              <w:jc w:val="center"/>
            </w:pPr>
            <w:r>
              <w:rPr>
                <w:rFonts w:ascii="Arial" w:hAnsi="Arial" w:cs="Arial"/>
                <w:sz w:val="20"/>
                <w:szCs w:val="20"/>
              </w:rPr>
              <w:t>Lučenec</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7FBBFFFB" w14:textId="4C2BC718"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72,52</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6A5847BA" w14:textId="34C23171"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79,37</w:t>
            </w:r>
          </w:p>
        </w:tc>
      </w:tr>
      <w:tr w:rsidR="00F808E1" w:rsidRPr="0090457E" w14:paraId="4468B8DB"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2C7C9AC3" w14:textId="1222824E" w:rsidR="00F808E1" w:rsidRPr="0090457E" w:rsidRDefault="00F808E1" w:rsidP="00F808E1">
            <w:pPr>
              <w:spacing w:before="100" w:beforeAutospacing="1" w:after="100" w:afterAutospacing="1" w:line="276" w:lineRule="auto"/>
              <w:jc w:val="center"/>
            </w:pPr>
            <w:r>
              <w:rPr>
                <w:rFonts w:ascii="Arial" w:hAnsi="Arial" w:cs="Arial"/>
                <w:sz w:val="20"/>
                <w:szCs w:val="20"/>
              </w:rPr>
              <w:t>Poltár</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4349F34C" w14:textId="7C295369"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73,05</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070776E4" w14:textId="3AE0174B"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79,14</w:t>
            </w:r>
          </w:p>
        </w:tc>
      </w:tr>
      <w:tr w:rsidR="00F808E1" w:rsidRPr="0090457E" w14:paraId="6D72C4E7"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008893F6" w14:textId="08E232C8" w:rsidR="00F808E1" w:rsidRPr="0090457E" w:rsidRDefault="00F808E1" w:rsidP="00F808E1">
            <w:pPr>
              <w:spacing w:before="100" w:beforeAutospacing="1" w:after="100" w:afterAutospacing="1" w:line="276" w:lineRule="auto"/>
              <w:jc w:val="center"/>
            </w:pPr>
            <w:r>
              <w:rPr>
                <w:rFonts w:ascii="Arial" w:hAnsi="Arial" w:cs="Arial"/>
                <w:sz w:val="20"/>
                <w:szCs w:val="20"/>
              </w:rPr>
              <w:t>Revúca</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12A0F526" w14:textId="208E08B9"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70,17</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43E96FCC" w14:textId="593052C9"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77,17</w:t>
            </w:r>
          </w:p>
        </w:tc>
      </w:tr>
      <w:tr w:rsidR="00F808E1" w:rsidRPr="0090457E" w14:paraId="164F022C"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66F8C7B4" w14:textId="623055C8" w:rsidR="00F808E1" w:rsidRPr="0090457E" w:rsidRDefault="00F808E1" w:rsidP="00F808E1">
            <w:pPr>
              <w:spacing w:before="100" w:beforeAutospacing="1" w:after="100" w:afterAutospacing="1" w:line="276" w:lineRule="auto"/>
              <w:jc w:val="center"/>
            </w:pPr>
            <w:r>
              <w:rPr>
                <w:rFonts w:ascii="Arial" w:hAnsi="Arial" w:cs="Arial"/>
                <w:sz w:val="20"/>
                <w:szCs w:val="20"/>
              </w:rPr>
              <w:t>Rimavská Sobota</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711232E8" w14:textId="60A8BCF0"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71,24</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6237EB69" w14:textId="3D61B498"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78,95</w:t>
            </w:r>
          </w:p>
        </w:tc>
      </w:tr>
      <w:tr w:rsidR="00F808E1" w:rsidRPr="0090457E" w14:paraId="6772A53E"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70132274" w14:textId="77D3E2D4" w:rsidR="00F808E1" w:rsidRPr="0090457E" w:rsidRDefault="00F808E1" w:rsidP="00F808E1">
            <w:pPr>
              <w:spacing w:before="100" w:beforeAutospacing="1" w:after="100" w:afterAutospacing="1" w:line="276" w:lineRule="auto"/>
              <w:jc w:val="center"/>
            </w:pPr>
            <w:r>
              <w:rPr>
                <w:rFonts w:ascii="Arial" w:hAnsi="Arial" w:cs="Arial"/>
                <w:sz w:val="20"/>
                <w:szCs w:val="20"/>
              </w:rPr>
              <w:t>Veľký Krtíš</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291DBF7E" w14:textId="773F79E4"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71,83</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75480848" w14:textId="5DC9416B"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79,01</w:t>
            </w:r>
          </w:p>
        </w:tc>
      </w:tr>
      <w:tr w:rsidR="00F808E1" w:rsidRPr="0090457E" w14:paraId="4C47B63C"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343A3BBA" w14:textId="6F0C8404" w:rsidR="00F808E1" w:rsidRPr="0090457E" w:rsidRDefault="00F808E1" w:rsidP="00F808E1">
            <w:pPr>
              <w:spacing w:before="100" w:beforeAutospacing="1" w:after="100" w:afterAutospacing="1" w:line="276" w:lineRule="auto"/>
              <w:jc w:val="center"/>
            </w:pPr>
            <w:r>
              <w:rPr>
                <w:rFonts w:ascii="Arial" w:hAnsi="Arial" w:cs="Arial"/>
                <w:sz w:val="20"/>
                <w:szCs w:val="20"/>
              </w:rPr>
              <w:t>Zvolen</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3912203E" w14:textId="3F4D899F"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74,72</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076BC3EB" w14:textId="751C3BD2"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81,57</w:t>
            </w:r>
          </w:p>
        </w:tc>
      </w:tr>
      <w:tr w:rsidR="00F808E1" w:rsidRPr="0090457E" w14:paraId="422B3968" w14:textId="77777777" w:rsidTr="00F808E1">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hideMark/>
          </w:tcPr>
          <w:p w14:paraId="7626E78C" w14:textId="2E3AA03C" w:rsidR="00F808E1" w:rsidRPr="0090457E" w:rsidRDefault="00F808E1" w:rsidP="00F808E1">
            <w:pPr>
              <w:spacing w:before="100" w:beforeAutospacing="1" w:after="100" w:afterAutospacing="1" w:line="276" w:lineRule="auto"/>
              <w:jc w:val="center"/>
            </w:pPr>
            <w:r>
              <w:rPr>
                <w:rFonts w:ascii="Arial" w:hAnsi="Arial" w:cs="Arial"/>
                <w:sz w:val="20"/>
                <w:szCs w:val="20"/>
              </w:rPr>
              <w:t>Žarnovica</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4D8DD833" w14:textId="132FE3DA"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71,78</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55ABFD8F" w14:textId="62F0689B"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80,62</w:t>
            </w:r>
          </w:p>
        </w:tc>
      </w:tr>
      <w:tr w:rsidR="00F808E1" w:rsidRPr="0090457E" w14:paraId="6FC5B5E0" w14:textId="77777777" w:rsidTr="007C5303">
        <w:trPr>
          <w:trHeight w:val="300"/>
          <w:jc w:val="center"/>
        </w:trPr>
        <w:tc>
          <w:tcPr>
            <w:tcW w:w="3500" w:type="pct"/>
            <w:tcBorders>
              <w:top w:val="single" w:sz="4" w:space="0" w:color="000000"/>
              <w:left w:val="single" w:sz="4" w:space="0" w:color="000000"/>
              <w:bottom w:val="single" w:sz="4" w:space="0" w:color="000000"/>
              <w:right w:val="single" w:sz="4" w:space="0" w:color="000000"/>
            </w:tcBorders>
            <w:vAlign w:val="bottom"/>
          </w:tcPr>
          <w:p w14:paraId="5AE8577E" w14:textId="2E92B89C" w:rsidR="00F808E1" w:rsidRDefault="00F808E1" w:rsidP="00F808E1">
            <w:pPr>
              <w:jc w:val="center"/>
              <w:rPr>
                <w:rFonts w:ascii="Arial" w:hAnsi="Arial" w:cs="Arial"/>
                <w:sz w:val="20"/>
                <w:szCs w:val="20"/>
              </w:rPr>
            </w:pPr>
            <w:r>
              <w:rPr>
                <w:rFonts w:ascii="Arial" w:hAnsi="Arial" w:cs="Arial"/>
                <w:sz w:val="20"/>
                <w:szCs w:val="20"/>
              </w:rPr>
              <w:t>Žiar nad Hronom</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1E7175A3" w14:textId="440245B1" w:rsidR="00F808E1" w:rsidRDefault="00F808E1" w:rsidP="00F808E1">
            <w:pPr>
              <w:spacing w:before="100" w:beforeAutospacing="1" w:after="100" w:afterAutospacing="1" w:line="276" w:lineRule="auto"/>
              <w:jc w:val="center"/>
              <w:rPr>
                <w:rFonts w:ascii="Calibri" w:hAnsi="Calibri" w:cs="Calibri"/>
                <w:color w:val="000000"/>
              </w:rPr>
            </w:pPr>
            <w:r>
              <w:rPr>
                <w:rFonts w:ascii="Calibri" w:hAnsi="Calibri" w:cs="Calibri"/>
                <w:color w:val="000000"/>
                <w:sz w:val="22"/>
                <w:szCs w:val="22"/>
              </w:rPr>
              <w:t>74,85</w:t>
            </w:r>
          </w:p>
        </w:tc>
        <w:tc>
          <w:tcPr>
            <w:tcW w:w="750" w:type="pct"/>
            <w:tcBorders>
              <w:top w:val="single" w:sz="4" w:space="0" w:color="000000"/>
              <w:left w:val="single" w:sz="4" w:space="0" w:color="000000"/>
              <w:bottom w:val="single" w:sz="4" w:space="0" w:color="000000"/>
              <w:right w:val="single" w:sz="4" w:space="0" w:color="000000"/>
            </w:tcBorders>
            <w:noWrap/>
            <w:vAlign w:val="bottom"/>
          </w:tcPr>
          <w:p w14:paraId="01BAA12C" w14:textId="18D72B24" w:rsidR="00F808E1" w:rsidRPr="0090457E" w:rsidRDefault="00F808E1" w:rsidP="00F808E1">
            <w:pPr>
              <w:spacing w:before="100" w:beforeAutospacing="1" w:after="100" w:afterAutospacing="1" w:line="276" w:lineRule="auto"/>
              <w:jc w:val="center"/>
            </w:pPr>
            <w:r>
              <w:rPr>
                <w:rFonts w:ascii="Calibri" w:hAnsi="Calibri" w:cs="Calibri"/>
                <w:color w:val="000000"/>
                <w:sz w:val="22"/>
                <w:szCs w:val="22"/>
              </w:rPr>
              <w:t>81,04</w:t>
            </w:r>
          </w:p>
        </w:tc>
      </w:tr>
    </w:tbl>
    <w:p w14:paraId="0F46182F" w14:textId="77777777" w:rsidR="00F20A98" w:rsidRPr="0090457E" w:rsidRDefault="00F20A98" w:rsidP="00F20A98">
      <w:pPr>
        <w:tabs>
          <w:tab w:val="left" w:pos="720"/>
        </w:tabs>
        <w:spacing w:line="276" w:lineRule="auto"/>
        <w:rPr>
          <w:sz w:val="20"/>
          <w:szCs w:val="20"/>
        </w:rPr>
      </w:pPr>
      <w:r w:rsidRPr="0090457E">
        <w:rPr>
          <w:sz w:val="20"/>
          <w:szCs w:val="20"/>
        </w:rPr>
        <w:t>Zdroj: Štatistický úrad SR</w:t>
      </w:r>
    </w:p>
    <w:p w14:paraId="0D3614E4" w14:textId="77777777" w:rsidR="009D777B" w:rsidRDefault="009D777B" w:rsidP="00F20A98">
      <w:pPr>
        <w:spacing w:line="276" w:lineRule="auto"/>
      </w:pPr>
    </w:p>
    <w:p w14:paraId="0F1A8EE8" w14:textId="0838FC5C" w:rsidR="00F20A98" w:rsidRPr="0090457E" w:rsidRDefault="00F20A98" w:rsidP="00F20A98">
      <w:pPr>
        <w:spacing w:line="276" w:lineRule="auto"/>
      </w:pPr>
      <w:r w:rsidRPr="0090457E">
        <w:t>V rámci štatistického zhodnotenia okresu Žarnovica je možné predpokladať výskyt piatich najčastejších príčin smrti:</w:t>
      </w:r>
    </w:p>
    <w:p w14:paraId="08E906DE" w14:textId="77777777" w:rsidR="00F20A98" w:rsidRPr="0090457E" w:rsidRDefault="00F20A98" w:rsidP="00F20A98">
      <w:pPr>
        <w:numPr>
          <w:ilvl w:val="0"/>
          <w:numId w:val="22"/>
        </w:numPr>
        <w:spacing w:line="276" w:lineRule="auto"/>
      </w:pPr>
      <w:r w:rsidRPr="0090457E">
        <w:t xml:space="preserve">choroby obehovej sústavy, </w:t>
      </w:r>
    </w:p>
    <w:p w14:paraId="6EB9290B" w14:textId="77777777" w:rsidR="00F20A98" w:rsidRPr="0090457E" w:rsidRDefault="00F20A98" w:rsidP="00F20A98">
      <w:pPr>
        <w:numPr>
          <w:ilvl w:val="0"/>
          <w:numId w:val="22"/>
        </w:numPr>
        <w:spacing w:line="276" w:lineRule="auto"/>
      </w:pPr>
      <w:r w:rsidRPr="0090457E">
        <w:t xml:space="preserve">nádory, choroby dýchacej sústavy, </w:t>
      </w:r>
    </w:p>
    <w:p w14:paraId="50688641" w14:textId="77777777" w:rsidR="00F20A98" w:rsidRPr="0090457E" w:rsidRDefault="00F20A98" w:rsidP="00F20A98">
      <w:pPr>
        <w:numPr>
          <w:ilvl w:val="0"/>
          <w:numId w:val="22"/>
        </w:numPr>
        <w:spacing w:line="276" w:lineRule="auto"/>
      </w:pPr>
      <w:r w:rsidRPr="0090457E">
        <w:t>choroby tráviacej sústavy,</w:t>
      </w:r>
    </w:p>
    <w:p w14:paraId="54F33DCF" w14:textId="77777777" w:rsidR="00F20A98" w:rsidRPr="0090457E" w:rsidRDefault="00F20A98" w:rsidP="00F20A98">
      <w:pPr>
        <w:numPr>
          <w:ilvl w:val="0"/>
          <w:numId w:val="22"/>
        </w:numPr>
        <w:spacing w:line="276" w:lineRule="auto"/>
      </w:pPr>
      <w:r w:rsidRPr="0090457E">
        <w:t xml:space="preserve">vonkajšie príčiny smrti. </w:t>
      </w:r>
    </w:p>
    <w:p w14:paraId="12971202" w14:textId="77777777" w:rsidR="00F20A98" w:rsidRPr="0090457E" w:rsidRDefault="00F20A98" w:rsidP="00F20A98">
      <w:pPr>
        <w:spacing w:line="276" w:lineRule="auto"/>
      </w:pPr>
      <w:r w:rsidRPr="0090457E">
        <w:t xml:space="preserve">Odhad ich podielu na úmrtnosti obyvateľstva okresu sa pohybuje na úrovni celoštátneho priemeru. </w:t>
      </w:r>
    </w:p>
    <w:p w14:paraId="489A881B" w14:textId="77777777" w:rsidR="000B75BC" w:rsidRPr="003D4B76" w:rsidRDefault="00F56F14" w:rsidP="005336C4">
      <w:pPr>
        <w:pStyle w:val="Nadpis1"/>
        <w:numPr>
          <w:ilvl w:val="0"/>
          <w:numId w:val="1"/>
        </w:numPr>
        <w:spacing w:line="240" w:lineRule="auto"/>
        <w:ind w:left="357" w:hanging="357"/>
        <w:rPr>
          <w:i w:val="0"/>
        </w:rPr>
      </w:pPr>
      <w:bookmarkStart w:id="35" w:name="_Toc31615205"/>
      <w:r w:rsidRPr="003D4B76">
        <w:rPr>
          <w:i w:val="0"/>
        </w:rPr>
        <w:t>VPLYVY NA ŽIVOTNÉ PROSTREDIE A ZDRAVIE OBYVATEĽSTVA VRÁTANE KUMULATÍVNYCH A</w:t>
      </w:r>
      <w:r w:rsidR="00717278" w:rsidRPr="003D4B76">
        <w:rPr>
          <w:i w:val="0"/>
        </w:rPr>
        <w:t> </w:t>
      </w:r>
      <w:r w:rsidRPr="003D4B76">
        <w:rPr>
          <w:i w:val="0"/>
        </w:rPr>
        <w:t>SYNERGICKÝCH</w:t>
      </w:r>
      <w:bookmarkEnd w:id="35"/>
    </w:p>
    <w:p w14:paraId="6B64422E" w14:textId="77777777" w:rsidR="00471293" w:rsidRPr="00646379" w:rsidRDefault="00471293" w:rsidP="00717278">
      <w:pPr>
        <w:rPr>
          <w:highlight w:val="yellow"/>
        </w:rPr>
      </w:pPr>
    </w:p>
    <w:p w14:paraId="004BDEC5" w14:textId="77777777" w:rsidR="003D4B76" w:rsidRPr="0090457E" w:rsidRDefault="003D4B76" w:rsidP="003D4B76">
      <w:r w:rsidRPr="0090457E">
        <w:t xml:space="preserve">Nasledujúce kapitoly pojednávajú o potenciálnych vplyvoch navrhovanej činnosti na zdravie a pohodu obyvateľstva a na životné prostredie. Z tohto dôvodu je teda potrebné definovať najbližšiu obytnú zástavbu, ktorá bude potenciálnymi vplyvmi činnosti najviac dotknutá. </w:t>
      </w:r>
    </w:p>
    <w:p w14:paraId="2AAE9C58" w14:textId="77777777" w:rsidR="007C5303" w:rsidRDefault="003D4B76" w:rsidP="00717278">
      <w:r w:rsidRPr="0090457E">
        <w:t xml:space="preserve">Predmetné územie sa nachádza v priemyselnej zóne mesta </w:t>
      </w:r>
      <w:r>
        <w:t>Nová Baňa</w:t>
      </w:r>
      <w:r w:rsidRPr="0090457E">
        <w:t xml:space="preserve">. V okolí sa nachádzajú prevažne priemyselné prevádzky. Najbližšia obytná zástavba je situovaná </w:t>
      </w:r>
      <w:r>
        <w:t>západným smerom vo vzdialenosti asi 1 km.</w:t>
      </w:r>
      <w:r w:rsidRPr="0090457E">
        <w:t xml:space="preserve"> </w:t>
      </w:r>
    </w:p>
    <w:p w14:paraId="1B0560B2" w14:textId="169D46B7" w:rsidR="00717278" w:rsidRPr="00242A58" w:rsidRDefault="003D4B76" w:rsidP="00717278">
      <w:r w:rsidRPr="0090457E">
        <w:t xml:space="preserve"> </w:t>
      </w:r>
    </w:p>
    <w:p w14:paraId="385B3E0B" w14:textId="4D28B09F" w:rsidR="00717278" w:rsidRPr="003D4B76" w:rsidRDefault="00717278" w:rsidP="00033492">
      <w:pPr>
        <w:pStyle w:val="Nadpis3"/>
      </w:pPr>
      <w:bookmarkStart w:id="36" w:name="_Toc355683313"/>
      <w:bookmarkStart w:id="37" w:name="_Toc360716113"/>
      <w:bookmarkStart w:id="38" w:name="_Toc31615206"/>
      <w:r w:rsidRPr="003D4B76">
        <w:lastRenderedPageBreak/>
        <w:t>Vplyvy na horninové prostredie a </w:t>
      </w:r>
      <w:bookmarkEnd w:id="36"/>
      <w:bookmarkEnd w:id="37"/>
      <w:r w:rsidR="003D4B76" w:rsidRPr="003D4B76">
        <w:t>pôd</w:t>
      </w:r>
      <w:r w:rsidR="005A2EE1">
        <w:t>u</w:t>
      </w:r>
      <w:bookmarkEnd w:id="38"/>
    </w:p>
    <w:p w14:paraId="07783989" w14:textId="77777777" w:rsidR="00E373DA" w:rsidRDefault="00E373DA" w:rsidP="00E373DA">
      <w:r>
        <w:t>V dôsledku realizácie zmeny posudzovanej činnosti nedôjde k ovplyvneniu kvality horninového prostredia v okolí prevádzky.</w:t>
      </w:r>
    </w:p>
    <w:p w14:paraId="2A43FC76" w14:textId="77777777" w:rsidR="00E373DA" w:rsidRPr="00365676" w:rsidRDefault="00E373DA" w:rsidP="00E373DA"/>
    <w:p w14:paraId="0D38FD7B" w14:textId="77777777" w:rsidR="00E373DA" w:rsidRPr="007F1A33" w:rsidRDefault="00E373DA" w:rsidP="00E373DA">
      <w:pPr>
        <w:keepNext/>
        <w:rPr>
          <w:u w:val="single"/>
        </w:rPr>
      </w:pPr>
      <w:r w:rsidRPr="007F1A33">
        <w:rPr>
          <w:u w:val="single"/>
        </w:rPr>
        <w:t>Potenciálne možné vplyvy navrhovanej činnosti na horninové prostredie predstavuje:</w:t>
      </w:r>
    </w:p>
    <w:p w14:paraId="5E611D84" w14:textId="77777777" w:rsidR="00E373DA" w:rsidRPr="007F1A33" w:rsidRDefault="00E373DA" w:rsidP="00E373DA">
      <w:pPr>
        <w:pStyle w:val="Odsekzoznamu"/>
        <w:keepNext/>
        <w:numPr>
          <w:ilvl w:val="0"/>
          <w:numId w:val="26"/>
        </w:numPr>
        <w:spacing w:line="276" w:lineRule="auto"/>
        <w:ind w:left="425" w:hanging="357"/>
        <w:contextualSpacing w:val="0"/>
        <w:rPr>
          <w:b/>
          <w:i/>
        </w:rPr>
      </w:pPr>
      <w:r w:rsidRPr="007F1A33">
        <w:rPr>
          <w:b/>
          <w:i/>
        </w:rPr>
        <w:t>v etape realizačných prác</w:t>
      </w:r>
    </w:p>
    <w:p w14:paraId="4EB635E2" w14:textId="77777777" w:rsidR="00E373DA" w:rsidRPr="007F1A33" w:rsidRDefault="00E373DA" w:rsidP="00E373DA">
      <w:pPr>
        <w:pStyle w:val="Odsekzoznamu"/>
        <w:numPr>
          <w:ilvl w:val="0"/>
          <w:numId w:val="27"/>
        </w:numPr>
        <w:spacing w:line="276" w:lineRule="auto"/>
        <w:ind w:left="714" w:hanging="357"/>
        <w:contextualSpacing w:val="0"/>
      </w:pPr>
      <w:r w:rsidRPr="007F1A33">
        <w:t>havarijný únik kvapalných ropných látok (z mechanizmov prepravujúcich technológiu, prípadne ďalšej potrebnej mechanizácie) – tento negatívny vplyv má povahu len možného rizika.</w:t>
      </w:r>
    </w:p>
    <w:p w14:paraId="3F3DEC47" w14:textId="77777777" w:rsidR="00E373DA" w:rsidRPr="007F1A33" w:rsidRDefault="00E373DA" w:rsidP="00E373DA">
      <w:pPr>
        <w:pStyle w:val="Odsekzoznamu"/>
        <w:numPr>
          <w:ilvl w:val="0"/>
          <w:numId w:val="28"/>
        </w:numPr>
        <w:spacing w:line="276" w:lineRule="auto"/>
        <w:ind w:left="426"/>
        <w:contextualSpacing w:val="0"/>
        <w:rPr>
          <w:b/>
          <w:i/>
        </w:rPr>
      </w:pPr>
      <w:r w:rsidRPr="007F1A33">
        <w:rPr>
          <w:b/>
          <w:i/>
        </w:rPr>
        <w:t>počas prevádzky</w:t>
      </w:r>
    </w:p>
    <w:p w14:paraId="459E3D14" w14:textId="77777777" w:rsidR="00E373DA" w:rsidRPr="007F1A33" w:rsidRDefault="00E373DA" w:rsidP="00E373DA">
      <w:pPr>
        <w:pStyle w:val="Odsekzoznamu"/>
        <w:numPr>
          <w:ilvl w:val="0"/>
          <w:numId w:val="27"/>
        </w:numPr>
        <w:spacing w:line="276" w:lineRule="auto"/>
        <w:ind w:left="714" w:hanging="357"/>
        <w:contextualSpacing w:val="0"/>
      </w:pPr>
      <w:r w:rsidRPr="007F1A33">
        <w:t>havarijný únik rôznych mazacích olejov a ropných látok výrobných zariadení a náterových látok a riedidiel – takémuto stavu sa predchádza celým radom technických a organizačných opatrení. V súvislosti s horninovým prostredím a ochranou vôd bude potrebné realizovať nasledovné  opatrenia:</w:t>
      </w:r>
    </w:p>
    <w:p w14:paraId="629A0793" w14:textId="77777777" w:rsidR="00E373DA" w:rsidRPr="007F1A33" w:rsidRDefault="00E373DA" w:rsidP="00E373DA">
      <w:pPr>
        <w:pStyle w:val="Odsekzoznamu"/>
        <w:numPr>
          <w:ilvl w:val="0"/>
          <w:numId w:val="29"/>
        </w:numPr>
        <w:spacing w:line="276" w:lineRule="auto"/>
        <w:ind w:left="1151" w:hanging="357"/>
        <w:contextualSpacing w:val="0"/>
      </w:pPr>
      <w:r w:rsidRPr="007F1A33">
        <w:t xml:space="preserve">zabezpečenie strojno-technologického vybavenia proti úniku rôznych mazacích olejov a ropných látok..., </w:t>
      </w:r>
    </w:p>
    <w:p w14:paraId="4A216E0A" w14:textId="77777777" w:rsidR="00E373DA" w:rsidRPr="007F1A33" w:rsidRDefault="00E373DA" w:rsidP="00E373DA">
      <w:pPr>
        <w:pStyle w:val="Odsekzoznamu"/>
        <w:numPr>
          <w:ilvl w:val="0"/>
          <w:numId w:val="29"/>
        </w:numPr>
        <w:spacing w:line="276" w:lineRule="auto"/>
        <w:ind w:left="1151" w:hanging="357"/>
        <w:contextualSpacing w:val="0"/>
      </w:pPr>
      <w:r w:rsidRPr="007F1A33">
        <w:t xml:space="preserve">skladovanie škodlivých látok a nebezpečných odpadov bude realizované v súlade s príslušnými predpismi, najmä ich zabezpečenie proti prípadnému úniku záchytnými vaňami alebo skladovaním v dvojplášťových nadzemných nádržiach. </w:t>
      </w:r>
    </w:p>
    <w:p w14:paraId="7F875517" w14:textId="77777777" w:rsidR="00E373DA" w:rsidRPr="007F1A33" w:rsidRDefault="00E373DA" w:rsidP="00E373DA">
      <w:pPr>
        <w:pStyle w:val="Odsekzoznamu"/>
        <w:numPr>
          <w:ilvl w:val="0"/>
          <w:numId w:val="29"/>
        </w:numPr>
        <w:spacing w:line="276" w:lineRule="auto"/>
        <w:ind w:left="1151" w:hanging="357"/>
        <w:contextualSpacing w:val="0"/>
      </w:pPr>
      <w:r w:rsidRPr="007F1A33">
        <w:t xml:space="preserve">vypracovanie a schválenie Plánu preventívnych opatrení na zamedzenie vzniku neovládateľného úniku škodlivých a obzvlášť škodlivých látok do životného prostredia a na postup v prípade ich úniku – „havarijného plánu“. </w:t>
      </w:r>
    </w:p>
    <w:p w14:paraId="05D83CEF" w14:textId="77777777" w:rsidR="00E373DA" w:rsidRPr="00B272D8" w:rsidRDefault="00E373DA" w:rsidP="00E373DA">
      <w:pPr>
        <w:rPr>
          <w:highlight w:val="yellow"/>
        </w:rPr>
      </w:pPr>
      <w:r w:rsidRPr="00B272D8">
        <w:rPr>
          <w:highlight w:val="yellow"/>
        </w:rPr>
        <w:t xml:space="preserve"> </w:t>
      </w:r>
    </w:p>
    <w:p w14:paraId="53A64DC0" w14:textId="77777777" w:rsidR="00E373DA" w:rsidRPr="007F1A33" w:rsidRDefault="00E373DA" w:rsidP="00E373DA">
      <w:r w:rsidRPr="007F1A33">
        <w:t>Na základe vyššie uvedeného vplyv navrhovanej činnosti na horninové prostredie a reliéf hodnotíme ako málo významný. Zaistením dobrého technického stavu dopravných mechanizmov ako v etape realizačných prác tak aj počas prevádzky sa zníži riziko možnej kontaminácie horninového prostredia na minimum. Prípadný únik ropných látok, resp. iných nebezpečných látok možno odstrániť použitím sorpčných prostriedkov. Tieto vplyvy sú dočasné a nevýznamné.</w:t>
      </w:r>
    </w:p>
    <w:p w14:paraId="2E01B00B" w14:textId="77777777" w:rsidR="00E373DA" w:rsidRPr="007F1A33" w:rsidRDefault="00E373DA" w:rsidP="00E373DA">
      <w:r w:rsidRPr="007F1A33">
        <w:t>Pri správnej prevádzke a inštalácii príslušných havarijných nádrží sú potenciálne negatívne vplyvy navrhovanej činnosti na pôdne a horninové prostredie dostatočne eliminované.</w:t>
      </w:r>
    </w:p>
    <w:p w14:paraId="6B64D6A0" w14:textId="77777777" w:rsidR="00717278" w:rsidRPr="00646379" w:rsidRDefault="00717278" w:rsidP="00717278">
      <w:pPr>
        <w:rPr>
          <w:highlight w:val="yellow"/>
        </w:rPr>
      </w:pPr>
    </w:p>
    <w:p w14:paraId="168A99C2" w14:textId="77777777" w:rsidR="00717278" w:rsidRPr="003D4B76" w:rsidRDefault="00717278" w:rsidP="00033492">
      <w:pPr>
        <w:pStyle w:val="Nadpis3"/>
      </w:pPr>
      <w:bookmarkStart w:id="39" w:name="_Toc360716114"/>
      <w:bookmarkStart w:id="40" w:name="_Toc31615207"/>
      <w:r w:rsidRPr="003D4B76">
        <w:t>Vplyvy na vodné pomery</w:t>
      </w:r>
      <w:bookmarkEnd w:id="39"/>
      <w:bookmarkEnd w:id="40"/>
      <w:r w:rsidRPr="003D4B76">
        <w:t xml:space="preserve"> </w:t>
      </w:r>
    </w:p>
    <w:p w14:paraId="3E32E010" w14:textId="77777777" w:rsidR="00E373DA" w:rsidRPr="00A31C12" w:rsidRDefault="00E373DA" w:rsidP="00E373DA">
      <w:r w:rsidRPr="00377E26">
        <w:rPr>
          <w:b/>
        </w:rPr>
        <w:t>Povrchová a podzemná voda</w:t>
      </w:r>
    </w:p>
    <w:p w14:paraId="40CA9563" w14:textId="77777777" w:rsidR="00E373DA" w:rsidRPr="000D603E" w:rsidRDefault="00E373DA" w:rsidP="00E373DA">
      <w:r w:rsidRPr="000D603E">
        <w:t xml:space="preserve">Realizáciou navrhovanej činnosti nebudú ovplyvnené hydrologické a hydrogeologické pomery povrchových a podzemných vôd. </w:t>
      </w:r>
    </w:p>
    <w:p w14:paraId="36D1CD0F" w14:textId="77777777" w:rsidR="00E373DA" w:rsidRPr="000D603E" w:rsidRDefault="00E373DA" w:rsidP="00E373DA">
      <w:r w:rsidRPr="000D603E">
        <w:t xml:space="preserve">V súvislosti s realizačnými činnosťami je podobne ako u vyššie uvedeného vplyvu v oblasti horninového prostredia a pôdy aktuálny možný prienik kontaminantov do podzemných vôd pri prípadnom úniku ropných látok z jednotlivých použitých mechanizmov. Tomuto bežnému riziku však možno účinne predísť striktným dodržiavaním pracovnej disciplíny a pravidelnou kontrolou stavu týchto mechanizmov. </w:t>
      </w:r>
    </w:p>
    <w:p w14:paraId="29B486FA" w14:textId="77777777" w:rsidR="00E373DA" w:rsidRPr="000D603E" w:rsidRDefault="00E373DA" w:rsidP="00E373DA">
      <w:r w:rsidRPr="000D603E">
        <w:t xml:space="preserve">Z hľadiska vodných zdrojov realizácia navrhovanej činnosti nepredpokladá zásahy do kvalitatívnych ani kvantitatívnych parametrov. Predmetné územie sa nenachádza v území </w:t>
      </w:r>
      <w:r w:rsidRPr="000D603E">
        <w:lastRenderedPageBreak/>
        <w:t xml:space="preserve">významných zdrojov a nebude mať významný vplyv na kvalitatívno-kvantitatívne pomery povrchových a podzemných vôd. </w:t>
      </w:r>
    </w:p>
    <w:p w14:paraId="0DAAE616" w14:textId="77777777" w:rsidR="00E373DA" w:rsidRDefault="00E373DA" w:rsidP="00E373DA">
      <w:r w:rsidRPr="000D603E">
        <w:t xml:space="preserve">Navrhované technologické zariadenie </w:t>
      </w:r>
      <w:r>
        <w:t>bude produkovať malé množstvo technologických odpadových vôd</w:t>
      </w:r>
      <w:r w:rsidRPr="000D603E">
        <w:t xml:space="preserve">. </w:t>
      </w:r>
      <w:r>
        <w:t>Technologické odpadové vody z výroby budú zhromažďované a odovzdávané na likvidáciu oprávnenej osobe v zmysle zákona č. 79/2015 Z.z.</w:t>
      </w:r>
    </w:p>
    <w:p w14:paraId="7049957C" w14:textId="77777777" w:rsidR="00E373DA" w:rsidRPr="000D603E" w:rsidRDefault="00E373DA" w:rsidP="00E373DA">
      <w:r w:rsidRPr="000D603E">
        <w:t xml:space="preserve">V štandardných prevádzkových podmienkach nedôjde na riešenej prevádzke k priamemu kontaktu a teda možnej kontaminácii podzemných vôd. Uplatňovaním preventívnych technických opatrení je riziko havárie výrazne obmedzené. Z hľadiska možnosti ovplyvnenia kvality podzemných a povrchových vôd sú rizikovými všetky úseky manipulácie a skladovania látok škodiacich vodám (pohonné hmoty, minerálne a mazacie oleje, riedidlá a náterové látky...). Na zabezpečenie vysokej ochrany vôd bude mimoriadna pozornosť venovaná prevencii (inštalácia kontrolných a havarijných prvkov). </w:t>
      </w:r>
    </w:p>
    <w:p w14:paraId="30C70C67" w14:textId="4812F0EF" w:rsidR="00717278" w:rsidRDefault="00E373DA" w:rsidP="00717278">
      <w:r w:rsidRPr="000D603E">
        <w:t>Na základe vyššie uvedeného vplyv navrhovanej činnosti na povrchovú a podzemnú vodu hodnotíme ako málo významný na úrovni bežného rizika spojeného s výrobnými činnosťami.</w:t>
      </w:r>
    </w:p>
    <w:p w14:paraId="72EFF13C" w14:textId="77777777" w:rsidR="00E02A01" w:rsidRPr="00E373DA" w:rsidRDefault="00E02A01" w:rsidP="00717278"/>
    <w:p w14:paraId="5F33A8ED" w14:textId="77777777" w:rsidR="00717278" w:rsidRPr="003D4B76" w:rsidRDefault="00717278" w:rsidP="00033492">
      <w:pPr>
        <w:pStyle w:val="Nadpis3"/>
      </w:pPr>
      <w:bookmarkStart w:id="41" w:name="_Toc360716115"/>
      <w:bookmarkStart w:id="42" w:name="_Toc31615208"/>
      <w:r w:rsidRPr="003D4B76">
        <w:t>Vplyvy na ovzdušie</w:t>
      </w:r>
      <w:bookmarkEnd w:id="41"/>
      <w:bookmarkEnd w:id="42"/>
    </w:p>
    <w:p w14:paraId="5E9459ED" w14:textId="77777777" w:rsidR="00E373DA" w:rsidRPr="000D603E" w:rsidRDefault="00E373DA" w:rsidP="00E373DA">
      <w:pPr>
        <w:spacing w:before="120"/>
        <w:rPr>
          <w:b/>
        </w:rPr>
      </w:pPr>
      <w:bookmarkStart w:id="43" w:name="_Toc360716117"/>
      <w:r w:rsidRPr="000D603E">
        <w:rPr>
          <w:b/>
        </w:rPr>
        <w:t>Emisie počas realizačných prác</w:t>
      </w:r>
    </w:p>
    <w:p w14:paraId="7C4AC969" w14:textId="0F0CB63F" w:rsidR="00E373DA" w:rsidRDefault="00E373DA" w:rsidP="00E373DA">
      <w:r w:rsidRPr="000D603E">
        <w:t>V procese realizácie predkladaného zámeru možno predpokladať čiastočné zvýšenie zaťaženia ovzdušia vplyvom emisií prachových častíc a emisií pochádzajúcich z mechanizácie prevážajúcej jednotlivé diely technologického zariadenia. Tento vplyv je však možné hodnotiť ako významný, avšak vzhľadom na časové obmedzenie len dočasný, trvajúci výlučne počas realizačných prác. Navrhovaná činnosť je vhodne lokalizovaná v dostatočnej odstupovej vzdialenosti od najbližších obytných zón.</w:t>
      </w:r>
    </w:p>
    <w:p w14:paraId="75B847C1" w14:textId="39A5B225" w:rsidR="00E373DA" w:rsidRDefault="00E373DA" w:rsidP="00E373DA"/>
    <w:p w14:paraId="12C27DC3" w14:textId="77777777" w:rsidR="00E373DA" w:rsidRPr="00172C01" w:rsidRDefault="00E373DA" w:rsidP="00E373DA">
      <w:pPr>
        <w:keepNext/>
        <w:rPr>
          <w:b/>
        </w:rPr>
      </w:pPr>
      <w:r w:rsidRPr="00172C01">
        <w:rPr>
          <w:b/>
        </w:rPr>
        <w:t>Emisie počas prevádzky</w:t>
      </w:r>
    </w:p>
    <w:p w14:paraId="0BFF7723" w14:textId="77777777" w:rsidR="00E02A01" w:rsidRDefault="00E373DA" w:rsidP="00E02A01">
      <w:r w:rsidRPr="00172C01">
        <w:t xml:space="preserve">Realizáciou navrhovanej činnosti nedôjde k vytvoreniu nového stacionárneho zdroja znečisťovania ovzdušia </w:t>
      </w:r>
      <w:r>
        <w:t xml:space="preserve">ale k zmene už jestvujúceho stredného </w:t>
      </w:r>
      <w:r w:rsidRPr="00172C01">
        <w:t>stacionárneho zdroja znečisťovania ovzdušia</w:t>
      </w:r>
      <w:r>
        <w:t xml:space="preserve"> </w:t>
      </w:r>
      <w:r w:rsidRPr="00172C01">
        <w:t> predmetnom území.</w:t>
      </w:r>
    </w:p>
    <w:p w14:paraId="453F22C6" w14:textId="2C27C00D" w:rsidR="00E373DA" w:rsidRPr="00172C01" w:rsidRDefault="00E373DA" w:rsidP="00E02A01">
      <w:r w:rsidRPr="00172C01">
        <w:t>Počas prevádzkovania navrhovanej činnosti budú, vzhľadom k jej charakteru, do ovzdušia emitované znečisťujúce látky, najmä zo spaľovania zemného plynu</w:t>
      </w:r>
      <w:r w:rsidR="00903882">
        <w:t xml:space="preserve"> (vykurovanie priestorov)</w:t>
      </w:r>
      <w:r w:rsidRPr="00172C01">
        <w:t>. Emisie budú na úroveň povolenú platnou legislatívou</w:t>
      </w:r>
      <w:r>
        <w:t xml:space="preserve">, v prípade potreby, </w:t>
      </w:r>
      <w:r w:rsidRPr="00172C01">
        <w:t xml:space="preserve"> znižované inštaláciou účinných filtračných zariadení pred ich vypustením do vonkajšieho a pracovného prostredia. Negatívny vplyv emisií do vonkajšieho prostredia na imisnú situáciu v dotknutej lokalite bude minimalizovaný plnením požiadaviek na zabezpečenie rozptylu znečisťujúcich látok, a to vyvedením výduchov v dostatočnej výške, min. 1 m od vrcholu </w:t>
      </w:r>
      <w:proofErr w:type="spellStart"/>
      <w:r w:rsidRPr="00172C01">
        <w:t>atiky</w:t>
      </w:r>
      <w:proofErr w:type="spellEnd"/>
      <w:r w:rsidRPr="00172C01">
        <w:t>.</w:t>
      </w:r>
    </w:p>
    <w:p w14:paraId="2225CD30" w14:textId="628A26F8" w:rsidR="00E373DA" w:rsidRPr="00172C01" w:rsidRDefault="00E373DA" w:rsidP="00E373DA">
      <w:r w:rsidRPr="00172C01">
        <w:t xml:space="preserve">Prevádzka navrhovaného zariadenia sa prejaví tiež miernym zvýšením emisií produkovaných do ovzdušia záujmovej oblasti, v súvislosti s vyvolanou dopravou. </w:t>
      </w:r>
      <w:r>
        <w:t xml:space="preserve">Celkové predpokladané navýšenie intenzity dopravy je </w:t>
      </w:r>
      <w:r w:rsidR="00903882">
        <w:t>22</w:t>
      </w:r>
      <w:r>
        <w:t xml:space="preserve"> prejazdov nákladných vozidiel a maximálne </w:t>
      </w:r>
      <w:r w:rsidR="00903882">
        <w:t>350</w:t>
      </w:r>
      <w:r>
        <w:t xml:space="preserve"> prejazdov osobných automobilov denne.  </w:t>
      </w:r>
      <w:r w:rsidRPr="00172C01">
        <w:t xml:space="preserve">Toto zvýšenie však bude mať, vzhľadom </w:t>
      </w:r>
      <w:r>
        <w:t xml:space="preserve">na aktuálnu úroveň dopravného zaťaženia </w:t>
      </w:r>
      <w:r w:rsidRPr="00172C01">
        <w:t>frekvencii na kvalitu ovzdušia dotknutej lokality a jej okolia, minimálny vplyv.</w:t>
      </w:r>
    </w:p>
    <w:p w14:paraId="24B0192C" w14:textId="24199789" w:rsidR="00E373DA" w:rsidRDefault="00E373DA" w:rsidP="00E373DA"/>
    <w:p w14:paraId="4A9CDF23" w14:textId="77777777" w:rsidR="00E373DA" w:rsidRPr="00647699" w:rsidRDefault="00E373DA" w:rsidP="00E373DA">
      <w:pPr>
        <w:rPr>
          <w:b/>
        </w:rPr>
      </w:pPr>
      <w:proofErr w:type="spellStart"/>
      <w:r w:rsidRPr="00647699">
        <w:rPr>
          <w:b/>
        </w:rPr>
        <w:t>Biota</w:t>
      </w:r>
      <w:proofErr w:type="spellEnd"/>
    </w:p>
    <w:p w14:paraId="7F291422" w14:textId="6905ED34" w:rsidR="00E373DA" w:rsidRDefault="00E373DA" w:rsidP="00E373DA">
      <w:r w:rsidRPr="000D603E">
        <w:t xml:space="preserve">Priamo na posudzovanom území sa pôvodná prirodzená fauna ani flóra nevyskytuje. Vzhľadom na situovanie prevádzky v jestvujúcom areáli v rámci existujúcej budovy, nedôjde k narušeniu pôdneho krytu, vegetácie resp. fauny naviazanej na tieto zložky prírodného </w:t>
      </w:r>
      <w:r w:rsidRPr="000D603E">
        <w:lastRenderedPageBreak/>
        <w:t>prostredia.</w:t>
      </w:r>
      <w:r>
        <w:t xml:space="preserve"> Zmena navrhovanej činnosti nebude mať vplyv na </w:t>
      </w:r>
      <w:proofErr w:type="spellStart"/>
      <w:r>
        <w:t>biotu</w:t>
      </w:r>
      <w:proofErr w:type="spellEnd"/>
      <w:r>
        <w:t xml:space="preserve"> v jestvujúcom areáli. Na uvedených parcelách sa nevyskytujú žiadne hodnotné rastlinné spoločenstvá ani významné druhy fauny. Dotknutá lokalita má </w:t>
      </w:r>
      <w:proofErr w:type="spellStart"/>
      <w:r>
        <w:t>vzľadom</w:t>
      </w:r>
      <w:proofErr w:type="spellEnd"/>
      <w:r>
        <w:t xml:space="preserve"> na antropogénny vplyv </w:t>
      </w:r>
      <w:proofErr w:type="spellStart"/>
      <w:r>
        <w:t>ruderálny</w:t>
      </w:r>
      <w:proofErr w:type="spellEnd"/>
      <w:r>
        <w:t xml:space="preserve"> charakter.</w:t>
      </w:r>
    </w:p>
    <w:p w14:paraId="03BB6077" w14:textId="77777777" w:rsidR="00242A58" w:rsidRDefault="00242A58" w:rsidP="00E373DA"/>
    <w:p w14:paraId="7E986129" w14:textId="77777777" w:rsidR="00E373DA" w:rsidRPr="00647699" w:rsidRDefault="00E373DA" w:rsidP="00E373DA">
      <w:pPr>
        <w:rPr>
          <w:b/>
        </w:rPr>
      </w:pPr>
      <w:r w:rsidRPr="00647699">
        <w:rPr>
          <w:b/>
        </w:rPr>
        <w:t>Vplyvy na krajinu a scenériu</w:t>
      </w:r>
    </w:p>
    <w:p w14:paraId="36D45C07" w14:textId="77777777" w:rsidR="00E373DA" w:rsidRPr="00647699" w:rsidRDefault="00E373DA" w:rsidP="00E373DA">
      <w:pPr>
        <w:rPr>
          <w:u w:val="single"/>
        </w:rPr>
      </w:pPr>
      <w:r w:rsidRPr="00647699">
        <w:rPr>
          <w:u w:val="single"/>
        </w:rPr>
        <w:t>Štruktúra krajiny</w:t>
      </w:r>
    </w:p>
    <w:p w14:paraId="08FD603A" w14:textId="2369E06C" w:rsidR="00E373DA" w:rsidRPr="00AF3F18" w:rsidRDefault="00E373DA" w:rsidP="00E373DA">
      <w:r w:rsidRPr="00AF3F18">
        <w:t xml:space="preserve">Výstavbou navrhovanej prevádzky sa zmení charakter územia a jeho krajinná štruktúra. Keďže bude stavba realizovaná v existujúcom areáli investora, nebude táto zmena predstavovať výraznú zmenu oproti pôvodnému stavu. </w:t>
      </w:r>
    </w:p>
    <w:p w14:paraId="7B614C09" w14:textId="2FD364BB" w:rsidR="00E373DA" w:rsidRPr="00AF3F18" w:rsidRDefault="00E373DA" w:rsidP="00E373DA">
      <w:r w:rsidRPr="00AF3F18">
        <w:t xml:space="preserve">Priestory prevádzky budú predstavovať nadzemné objekty a budú vychádzať zo základnej požiadavky zachovania, pokiaľ to bude možné, jednotného architektonického vzhľadu. Pri použití vhodných regulatív určujúcich prijateľnú zastavanosť územia, výškovú hladinu novej zástavby a podiel </w:t>
      </w:r>
      <w:proofErr w:type="spellStart"/>
      <w:r w:rsidRPr="00AF3F18">
        <w:t>vzrastlej</w:t>
      </w:r>
      <w:proofErr w:type="spellEnd"/>
      <w:r w:rsidRPr="00AF3F18">
        <w:t xml:space="preserve"> zelene, možno očakávať pozitívne dotvorenie obrazu krajiny. Po ukončení stavebných prác bude terén upravený a budú zrealizované aj sadové úpravy.</w:t>
      </w:r>
    </w:p>
    <w:p w14:paraId="78674619" w14:textId="77777777" w:rsidR="00E373DA" w:rsidRDefault="00E373DA" w:rsidP="00E373DA"/>
    <w:p w14:paraId="2CF92172" w14:textId="77777777" w:rsidR="00E373DA" w:rsidRPr="00647699" w:rsidRDefault="00E373DA" w:rsidP="00E373DA">
      <w:pPr>
        <w:rPr>
          <w:u w:val="single"/>
        </w:rPr>
      </w:pPr>
      <w:r w:rsidRPr="00647699">
        <w:rPr>
          <w:u w:val="single"/>
        </w:rPr>
        <w:t>Ekologická stabilita a ochrana krajiny</w:t>
      </w:r>
    </w:p>
    <w:p w14:paraId="6C84EFB3" w14:textId="5BCC1713" w:rsidR="00E373DA" w:rsidRDefault="00E373DA" w:rsidP="00E373DA">
      <w:r>
        <w:t xml:space="preserve">Realizácia zmeny posudzovanej činnosti nezníži ekologickú stabilitu krajiny nakoľko nedôjde k zásahom do prvkov územného systému ekologickej stability. Pri dodržaní opatrení počas prevádzky posudzovanej činnosti nepredpokladáme významné negatívne vplyvy na prvky ochrany prírody a krajiny. </w:t>
      </w:r>
    </w:p>
    <w:p w14:paraId="42EC8556" w14:textId="77777777" w:rsidR="00E373DA" w:rsidRDefault="00E373DA" w:rsidP="00E373DA"/>
    <w:p w14:paraId="06C40FE2" w14:textId="77777777" w:rsidR="00E373DA" w:rsidRPr="00647699" w:rsidRDefault="00E373DA" w:rsidP="00E373DA">
      <w:pPr>
        <w:rPr>
          <w:u w:val="single"/>
        </w:rPr>
      </w:pPr>
      <w:r w:rsidRPr="00647699">
        <w:rPr>
          <w:u w:val="single"/>
        </w:rPr>
        <w:t>Scenéria krajiny</w:t>
      </w:r>
    </w:p>
    <w:p w14:paraId="70669342" w14:textId="3F9E1622" w:rsidR="00717278" w:rsidRDefault="00E373DA" w:rsidP="00E373DA">
      <w:r>
        <w:t>Realizácia zmeny posudzovanej činnosti  nebude mať výrazný vplyv  na scenériu krajiny. Jej realizáciou dôjde k výstavbe objektu v ktorom bude uložená samotná navrhovaná technológia. Takýto objekt bude však funkčne a vzhľadovo zapadať do existujúcej prevádzky.</w:t>
      </w:r>
      <w:bookmarkEnd w:id="43"/>
    </w:p>
    <w:p w14:paraId="28FB0E07" w14:textId="77777777" w:rsidR="00E373DA" w:rsidRPr="00E373DA" w:rsidRDefault="00E373DA" w:rsidP="00E373DA"/>
    <w:p w14:paraId="2A2C330E" w14:textId="77777777" w:rsidR="00717278" w:rsidRPr="003D4B76" w:rsidRDefault="00717278" w:rsidP="00033492">
      <w:pPr>
        <w:pStyle w:val="Nadpis3"/>
      </w:pPr>
      <w:bookmarkStart w:id="44" w:name="_Toc360716118"/>
      <w:bookmarkStart w:id="45" w:name="_Toc31615209"/>
      <w:r w:rsidRPr="003D4B76">
        <w:t>Vplyvy na obyvateľstvo</w:t>
      </w:r>
      <w:bookmarkEnd w:id="44"/>
      <w:bookmarkEnd w:id="45"/>
    </w:p>
    <w:p w14:paraId="14B3ED7B" w14:textId="2EC3F536" w:rsidR="00E373DA" w:rsidRDefault="00E373DA" w:rsidP="00E373DA">
      <w:r w:rsidRPr="00D01F26">
        <w:t xml:space="preserve">Dotknutým obyvateľstvom bude obyvateľstvo </w:t>
      </w:r>
      <w:r>
        <w:t xml:space="preserve">mesta </w:t>
      </w:r>
      <w:r w:rsidR="00903882">
        <w:t>Nová Baňa</w:t>
      </w:r>
      <w:r>
        <w:t xml:space="preserve">. Najbližšia obytná zástavba sa nachádza vo vzdialenosti cca </w:t>
      </w:r>
      <w:r w:rsidR="00903882">
        <w:t>800</w:t>
      </w:r>
      <w:r>
        <w:t xml:space="preserve"> m </w:t>
      </w:r>
      <w:r w:rsidR="00903882">
        <w:t>západným</w:t>
      </w:r>
      <w:r>
        <w:t xml:space="preserve"> smerom</w:t>
      </w:r>
      <w:r w:rsidR="00903882">
        <w:t>. Jedným z priaznivých aspektov umiestnenia navrhovanej zmeny je členitý, zalesnený terén medzi najbližšou obytnou zástavbou a prevádzkou v ktorej bude realizovaná navrhovaná zmena. Tento pôsobí ako efektívna bariéra proti prípadným nežiadúcim vplyvom navrhovanej zmeny.</w:t>
      </w:r>
    </w:p>
    <w:p w14:paraId="55AA486C" w14:textId="2EA2F0CF" w:rsidR="00E373DA" w:rsidRPr="00D01F26" w:rsidRDefault="00E373DA" w:rsidP="00E373DA">
      <w:r w:rsidRPr="00D01F26">
        <w:t xml:space="preserve">Počas </w:t>
      </w:r>
      <w:r>
        <w:t xml:space="preserve">realizačných prác </w:t>
      </w:r>
      <w:r w:rsidRPr="00D01F26">
        <w:t xml:space="preserve">bude dochádzať k vplyvom na obyvateľstvo, vyvolaným prebiehajúcou stavebnou činnosťou, a to najmä v podobe záťaže zo zvýšenej dopravnej frekvencie, spojenej s hlukom a emisiami znečisťujúcich látok zo spaľovacích motorov dopravy. </w:t>
      </w:r>
    </w:p>
    <w:p w14:paraId="00A92EAE" w14:textId="3BFD0706" w:rsidR="00E373DA" w:rsidRPr="00D01F26" w:rsidRDefault="00E373DA" w:rsidP="00E373DA">
      <w:r w:rsidRPr="00D01F26">
        <w:t xml:space="preserve">Medzi priamy pozitívny vplyv na obyvateľstvo dotknutého okolia počas výstavby výrobnej haly bude patriť aj vytvorenie bližšie nešpecifikovaného počtu pracovných miest, najmä v oblasti stavebníctva. </w:t>
      </w:r>
    </w:p>
    <w:p w14:paraId="75707BB6" w14:textId="75033224" w:rsidR="00E373DA" w:rsidRPr="00D01F26" w:rsidRDefault="00E373DA" w:rsidP="00E373DA">
      <w:r w:rsidRPr="00D01F26">
        <w:t xml:space="preserve">Počas prevádzky navrhovanej činnosti bude dochádzať k priamym aj nepriamym vplyvom na obyvateľstvo. </w:t>
      </w:r>
    </w:p>
    <w:p w14:paraId="7746DF4A" w14:textId="16A77B6D" w:rsidR="00E373DA" w:rsidRPr="00D01F26" w:rsidRDefault="00E373DA" w:rsidP="00E373DA">
      <w:r w:rsidRPr="00D01F26">
        <w:t>Medzi negatívne vplyvy navrhovanej činnosti patria v určitej miere emisie znečisťujúcich látok do okolitého prostredia a</w:t>
      </w:r>
      <w:r>
        <w:t xml:space="preserve"> mierne </w:t>
      </w:r>
      <w:r w:rsidRPr="00D01F26">
        <w:t xml:space="preserve">zvýšená dopravná záťaž dotknutej lokality. </w:t>
      </w:r>
    </w:p>
    <w:p w14:paraId="74F10E18" w14:textId="3236D140" w:rsidR="00E373DA" w:rsidRPr="00D01F26" w:rsidRDefault="00E373DA" w:rsidP="00E373DA">
      <w:r w:rsidRPr="00356A32">
        <w:t xml:space="preserve">V dotknutej lokalite sa v súvislosti prevádzkovaním navrhovanej činnosti zvýši frekvencia nákladnej a osobnej dopravy. V prvom rade pôjde k nárastu osobnej dopravy, čomu zodpovedá projektovaný počet </w:t>
      </w:r>
      <w:r w:rsidR="00903882">
        <w:t>96</w:t>
      </w:r>
      <w:r>
        <w:t xml:space="preserve"> nových</w:t>
      </w:r>
      <w:r w:rsidRPr="00356A32">
        <w:t xml:space="preserve"> parkovacích stojísk</w:t>
      </w:r>
      <w:r w:rsidR="00903882">
        <w:t xml:space="preserve">. Tieto budú slúžiť pre </w:t>
      </w:r>
      <w:r w:rsidR="00903882">
        <w:lastRenderedPageBreak/>
        <w:t>exitujúcich zamestnancov a rovnako aj pre zamestnancov ktorí pribudnú v dôsledku navrhovanej zmeny</w:t>
      </w:r>
      <w:r w:rsidR="00D81F0C">
        <w:t>.</w:t>
      </w:r>
      <w:r w:rsidR="00903882">
        <w:t xml:space="preserve"> </w:t>
      </w:r>
      <w:r w:rsidR="00D81F0C">
        <w:t>N</w:t>
      </w:r>
      <w:r w:rsidRPr="00356A32">
        <w:t xml:space="preserve">a dopravnom zaťažení sa budú tiež podieľať nákladné vozidlá v predpokladanom priemernom počte cca </w:t>
      </w:r>
      <w:r w:rsidR="00D81F0C">
        <w:t>11</w:t>
      </w:r>
      <w:r>
        <w:t xml:space="preserve"> vozidiel</w:t>
      </w:r>
      <w:r w:rsidRPr="00356A32">
        <w:t xml:space="preserve"> za deň (odvoz hotových výrobkov, dovoz materiálu, odvoz odpadov).</w:t>
      </w:r>
      <w:r w:rsidRPr="00D01F26">
        <w:t xml:space="preserve"> </w:t>
      </w:r>
    </w:p>
    <w:p w14:paraId="5EB6A46E" w14:textId="7C06571E" w:rsidR="00E373DA" w:rsidRPr="00D01F26" w:rsidRDefault="00E373DA" w:rsidP="00E373DA">
      <w:r w:rsidRPr="00D01F26">
        <w:t xml:space="preserve">K ďalším vplyvom na obyvateľstvo môžu potenciálne patriť emisie hluku z prevádzky </w:t>
      </w:r>
      <w:r>
        <w:t>navrhovaných zariadení a hluku</w:t>
      </w:r>
      <w:r w:rsidRPr="00D01F26">
        <w:t xml:space="preserve">, pričom primárne budú emisie hluku a následne ich vplyv eliminované už výberom samotných technologických zariadení a umiestnením technologických zariadení do uzavretých priestorov. </w:t>
      </w:r>
    </w:p>
    <w:p w14:paraId="1FCEF797" w14:textId="1A49160F" w:rsidR="00E373DA" w:rsidRPr="00D01F26" w:rsidRDefault="00E373DA" w:rsidP="00E373DA">
      <w:r w:rsidRPr="00D01F26">
        <w:t xml:space="preserve">Dodržiavanie prípustných hladín hluku do pracovného prostredia bude počas skúšobnej prevádzky overené meraním akreditovanou osobou a v prípade prekročenia limitných hodnôt riešené v rámci navrhovaných opatrení pre prevádzku, resp. ochranu zamestnancov. </w:t>
      </w:r>
    </w:p>
    <w:p w14:paraId="61FD1759" w14:textId="00DFF02E" w:rsidR="00E373DA" w:rsidRDefault="00E373DA" w:rsidP="00E373DA">
      <w:r w:rsidRPr="00D01F26">
        <w:t>Vplyv navrhovanej činnosti v podobe emisií emitovaných do ovzdušia, v súvislosti s prevádzkou inštalovaných zariaden</w:t>
      </w:r>
      <w:r w:rsidR="00D81F0C">
        <w:t>iami vykurovania</w:t>
      </w:r>
      <w:r w:rsidRPr="00D01F26">
        <w:t xml:space="preserve">, bude eliminovaný účinnými filtračnými zariadeniami a zabezpečením dostatočného rozptylu. Emisie z navrhovanej činnosti budú spĺňať príslušné emisné limity, v súlade s požiadavkami platných právnych predpisov v oblasti ochrany ovzdušia. </w:t>
      </w:r>
    </w:p>
    <w:p w14:paraId="457593B6" w14:textId="2A0DC710" w:rsidR="00E373DA" w:rsidRPr="00D01F26" w:rsidRDefault="00E373DA" w:rsidP="00E373DA">
      <w:r w:rsidRPr="00D01F26">
        <w:t>Z pohľadu produkcie odpadov predstavuje navrhovaná činnosť pre dotknuté obyvateľstvo minimálny vplyv. Pri prevádzke technologických zariadení budú vznikať prevažne odpady vo forme druhotných surovín, ktoré sa budú následne zhodnocovať. Špecifické druhy odpadov budú vznikať v minimálnych množstvách, pričom sa s nimi bude nakladať v zmysle právnych predpisov a tieto bude následne zneškodňovať, resp. zhodnocovať oprávnená osoba. Potenciálna kontaminácia pôdy a vody bude riešená účinnou prevenciou, najmä vypracovaním, a v prípade potreby aktualizáciou, havarijných plánov.</w:t>
      </w:r>
    </w:p>
    <w:p w14:paraId="2AFA2C1A" w14:textId="77777777" w:rsidR="00717278" w:rsidRPr="00646379" w:rsidRDefault="00717278" w:rsidP="00717278">
      <w:pPr>
        <w:rPr>
          <w:highlight w:val="yellow"/>
        </w:rPr>
      </w:pPr>
    </w:p>
    <w:p w14:paraId="27C0858E" w14:textId="77777777" w:rsidR="00353389" w:rsidRPr="00647699" w:rsidRDefault="00353389" w:rsidP="00353389">
      <w:pPr>
        <w:rPr>
          <w:b/>
        </w:rPr>
      </w:pPr>
      <w:r w:rsidRPr="00647699">
        <w:rPr>
          <w:b/>
        </w:rPr>
        <w:t>Hodnotenie zdravotných rizík</w:t>
      </w:r>
    </w:p>
    <w:p w14:paraId="1FD05AD3" w14:textId="6D9A8D0C" w:rsidR="00353389" w:rsidRDefault="00353389" w:rsidP="00353389">
      <w:r w:rsidRPr="00D03F95">
        <w:t xml:space="preserve">Potenciálne zdravotné riziká pre dotknuté obyvateľstvo sú spojené v prípade navrhovanej činnosti s emisiami znečisťujúcich látok do ovzdušia, hlukom a odpadovými vodami, produkovaným ako priamo z prevádzky, tak aj v súvislosti so zvýšeným dopravným zaťažením dotknutej lokality. </w:t>
      </w:r>
    </w:p>
    <w:p w14:paraId="17391A03" w14:textId="5D2201B4" w:rsidR="00353389" w:rsidRPr="00D03F95" w:rsidRDefault="00353389" w:rsidP="00353389">
      <w:r w:rsidRPr="00D03F95">
        <w:t>Do ovzdušia budú pri prevádzkovaní navrhovanej výroby emitované emisie nasledujúcich látok: TZL, SO</w:t>
      </w:r>
      <w:r w:rsidRPr="00D81F0C">
        <w:rPr>
          <w:vertAlign w:val="subscript"/>
        </w:rPr>
        <w:t>2</w:t>
      </w:r>
      <w:r w:rsidRPr="00D03F95">
        <w:t xml:space="preserve">, </w:t>
      </w:r>
      <w:proofErr w:type="spellStart"/>
      <w:r w:rsidRPr="00D03F95">
        <w:t>NO</w:t>
      </w:r>
      <w:r w:rsidRPr="00D81F0C">
        <w:rPr>
          <w:vertAlign w:val="subscript"/>
        </w:rPr>
        <w:t>x</w:t>
      </w:r>
      <w:proofErr w:type="spellEnd"/>
      <w:r w:rsidRPr="00D03F95">
        <w:t>, CO, TO</w:t>
      </w:r>
      <w:r w:rsidR="00D81F0C">
        <w:t>C</w:t>
      </w:r>
      <w:r w:rsidRPr="00D03F95">
        <w:t xml:space="preserve">. </w:t>
      </w:r>
    </w:p>
    <w:p w14:paraId="04A791E7" w14:textId="7CA82DAE" w:rsidR="00353389" w:rsidRPr="00D03F95" w:rsidRDefault="00353389" w:rsidP="00353389">
      <w:r w:rsidRPr="00D03F95">
        <w:t xml:space="preserve">Pre zabezpečenie optimálnych podmienok pre rozptyl budú emitované </w:t>
      </w:r>
      <w:proofErr w:type="spellStart"/>
      <w:r w:rsidRPr="00D03F95">
        <w:t>odplyny</w:t>
      </w:r>
      <w:proofErr w:type="spellEnd"/>
      <w:r w:rsidRPr="00D03F95">
        <w:t xml:space="preserve"> </w:t>
      </w:r>
      <w:r w:rsidR="00D81F0C">
        <w:t xml:space="preserve">z činnosti vykurovacích zariadení vedené do </w:t>
      </w:r>
      <w:r w:rsidRPr="00D03F95">
        <w:t xml:space="preserve">samostatných výduchov vo výške min. 1 m od vrcholu </w:t>
      </w:r>
      <w:proofErr w:type="spellStart"/>
      <w:r w:rsidRPr="00D03F95">
        <w:t>atiky</w:t>
      </w:r>
      <w:proofErr w:type="spellEnd"/>
      <w:r w:rsidRPr="00D03F95">
        <w:t xml:space="preserve">. </w:t>
      </w:r>
    </w:p>
    <w:p w14:paraId="2B94EFDC" w14:textId="5AED5D80" w:rsidR="00353389" w:rsidRDefault="00353389" w:rsidP="00353389">
      <w:r w:rsidRPr="00D03F95">
        <w:t xml:space="preserve">Na základe údajov k hodnotenej činnosti možno konštatovať, že nedôjde k nadlimitným expozíciám obyvateľstva z činnosti prevádzky. Počas prevádzky navrhovanej činnosti sa budú používať nebezpečné chemické látky (napr. farby, riedidlá, odmasťovacie prípravky, oleje a pod.) v nevyhnutnom množstve, a to spôsobom, ktorý minimalizuje možnosť úniku týchto látok do vonkajšieho prostredia. Posudzovaná činnosť spĺňa podmienku ustanovenia § 14 ods. 1 zákona č. 137/2010 Z.z. o ovzduší o zabezpečení rozptylu znečisťujúcich látok, navrhovateľ bude mať zároveň povinnosť uviesť do prevádzky a prevádzkovať zdroj znečisťovania ovzdušia v súlade s § 15 a </w:t>
      </w:r>
      <w:proofErr w:type="spellStart"/>
      <w:r w:rsidRPr="00D03F95">
        <w:t>nasl</w:t>
      </w:r>
      <w:proofErr w:type="spellEnd"/>
      <w:r w:rsidRPr="00D03F95">
        <w:t xml:space="preserve">. zákona č. 137/2010 Z.z. o ovzduší. </w:t>
      </w:r>
    </w:p>
    <w:p w14:paraId="0BC29375" w14:textId="5F28E9EA" w:rsidR="00353389" w:rsidRPr="00D03F95" w:rsidRDefault="00353389" w:rsidP="00353389">
      <w:r w:rsidRPr="00D03F95">
        <w:t xml:space="preserve">Z hľadiska expozície dotknutého obyvateľstva hlukom nie je predpoklad, že realizácia navrhovanej činnosti bude príčinou prekračovania prípustných hodnôt úrovne hluku. </w:t>
      </w:r>
    </w:p>
    <w:p w14:paraId="429F9C63" w14:textId="77777777" w:rsidR="00353389" w:rsidRPr="00D03F95" w:rsidRDefault="00353389" w:rsidP="00353389">
      <w:r w:rsidRPr="00D03F95">
        <w:t xml:space="preserve">Z hľadiska produkcie odpadových vôd, podľa prílohy č. 1 zákona č. 364/2004 Z.z. o vodách a o zmene zákona Slovenskej národnej rady č. 372/1990 Zb. o priestupkoch v znení neskorších predpisov (vodný zákon), sú odpadové technologické vody </w:t>
      </w:r>
      <w:r>
        <w:t>vypúšťané do kanalizácie</w:t>
      </w:r>
      <w:r w:rsidRPr="00D03F95">
        <w:t xml:space="preserve"> zaradené do skupiny škodlivých látok, bod č. 7 – Látky, ktoré majú nepriaznivý vplyv na </w:t>
      </w:r>
      <w:r w:rsidRPr="00D03F95">
        <w:lastRenderedPageBreak/>
        <w:t xml:space="preserve">rovnováhu kyslíka vo vode (merané ako ukazovatele BSK5 a CHSK) a tie, ktoré môžu prispieť k </w:t>
      </w:r>
      <w:proofErr w:type="spellStart"/>
      <w:r w:rsidRPr="00D03F95">
        <w:t>eutrofizácii</w:t>
      </w:r>
      <w:proofErr w:type="spellEnd"/>
      <w:r w:rsidRPr="00D03F95">
        <w:t xml:space="preserve">. Splaškové vody z navrhovanej činnosti budú odvedené do splaškovej kanalizácie. S dažďovými vodami z povrchového odtoku sa bude nakladať v súlade so zákonom, keďže tieto vody s rizikom kontaminácie NL budú k vsakovaniu vedené až po ich prečistení na ORL. </w:t>
      </w:r>
    </w:p>
    <w:p w14:paraId="003F543E" w14:textId="3FA29DDC" w:rsidR="00353389" w:rsidRPr="00D03F95" w:rsidRDefault="00353389" w:rsidP="00353389">
      <w:r w:rsidRPr="00D03F95">
        <w:t>Počas prevádzky teda nedôjde k ohrozeniu zdravia dotknutého obyvateľstva.</w:t>
      </w:r>
    </w:p>
    <w:p w14:paraId="188F6C93" w14:textId="0E7EFAB3" w:rsidR="00353389" w:rsidRDefault="00353389" w:rsidP="00353389">
      <w:r>
        <w:t>Zdravotné riziká na úrovni pracovníkov podieľajúcich sa na prevádzke jestvujúceho zariadenia, súvisia predovšetkým s organizáciou prác a dodržiavaním podmienok pracovnej disciplíny. Pri dodržaní platných pracovných postupov a požiadaviek BOZP hodnotíme uvedené riziko ako nevýznamné. Realizácia zmeny posudzovanej činnosti neovplyvní významný spôsobom tieto pracovné postupy.</w:t>
      </w:r>
    </w:p>
    <w:p w14:paraId="38646252" w14:textId="4400BBEA" w:rsidR="00353389" w:rsidRDefault="00353389" w:rsidP="00353389"/>
    <w:p w14:paraId="6B35DD24" w14:textId="103227C1" w:rsidR="00353389" w:rsidRPr="00353389" w:rsidRDefault="00353389" w:rsidP="00353389">
      <w:pPr>
        <w:rPr>
          <w:b/>
        </w:rPr>
      </w:pPr>
      <w:bookmarkStart w:id="46" w:name="_Toc30258428"/>
      <w:r w:rsidRPr="00353389">
        <w:rPr>
          <w:b/>
        </w:rPr>
        <w:t>Údaje o predpokladaných vplyvoch navrhovanej činnosti na chránené územia</w:t>
      </w:r>
      <w:bookmarkEnd w:id="46"/>
    </w:p>
    <w:p w14:paraId="03A7C8B0" w14:textId="77777777" w:rsidR="00353389" w:rsidRDefault="00353389" w:rsidP="00353389">
      <w:r w:rsidRPr="00647699">
        <w:t>Lokalita navrhovaná pre realizáciu zmeny posudzovanej činnosti nie je súčasťou ani nezasahuje do území, ktoré sú predmetoch ochrany v zmysle zákona č 543/2002 Z.z. o ochrane prírody a krajiny. Chránené vodohospodárske oblasti taktiež nebudú navrhovanou činnosťou dotknuté.</w:t>
      </w:r>
    </w:p>
    <w:p w14:paraId="2D3C76D6" w14:textId="77777777" w:rsidR="00353389" w:rsidRDefault="00353389" w:rsidP="00353389"/>
    <w:p w14:paraId="13095FF0" w14:textId="77777777" w:rsidR="00E02A01" w:rsidRDefault="00353389" w:rsidP="00E02A01">
      <w:r w:rsidRPr="00D81F0C">
        <w:rPr>
          <w:b/>
        </w:rPr>
        <w:t>Komplexné zhodnotenie vplyvov navrho</w:t>
      </w:r>
      <w:r w:rsidR="00D81F0C">
        <w:rPr>
          <w:b/>
        </w:rPr>
        <w:t>v</w:t>
      </w:r>
      <w:r w:rsidRPr="00D81F0C">
        <w:rPr>
          <w:b/>
        </w:rPr>
        <w:t>anej činnosti</w:t>
      </w:r>
    </w:p>
    <w:p w14:paraId="70FB43FE" w14:textId="69B23C46" w:rsidR="00353389" w:rsidRDefault="00353389" w:rsidP="00E02A01">
      <w:pPr>
        <w:rPr>
          <w:b/>
        </w:rPr>
      </w:pPr>
      <w:r w:rsidRPr="007F1A33">
        <w:t xml:space="preserve">Hodnotenie vplyvov činnosti na životné prostredie vychádza z identifikácie ovplyvnenia jednotlivých zložiek životného prostredia v dôsledku pôsobenia vstupov a výstupov navrhovaného zámeru. Cieľom špecifikácie predpokladaných vplyvov na prvky prírodného, krajinného a socioekonomického prostredia je podchytenie tých vplyvov, ktoré by závažným spôsobom zmenili existujúcu kvalitu životného prostredia v negatívnom </w:t>
      </w:r>
      <w:proofErr w:type="spellStart"/>
      <w:r w:rsidRPr="007F1A33">
        <w:t>smere.Pri</w:t>
      </w:r>
      <w:proofErr w:type="spellEnd"/>
      <w:r w:rsidRPr="007F1A33">
        <w:t xml:space="preserve"> komplexnom hodnotení jednotlivých vplyvov pre účely tejto správy o hodnotení využívame ohodnotenie významnosti a charakteru (pozitívny – negatívny) vplyvov podľa nasledovnej stupnice:</w:t>
      </w:r>
    </w:p>
    <w:p w14:paraId="75BF2B35" w14:textId="77777777" w:rsidR="00E02A01" w:rsidRPr="00E02A01" w:rsidRDefault="00E02A01" w:rsidP="00E02A01">
      <w:pPr>
        <w:rPr>
          <w:b/>
        </w:rPr>
      </w:pPr>
    </w:p>
    <w:p w14:paraId="726C64ED" w14:textId="77777777" w:rsidR="00353389" w:rsidRPr="007F1A33" w:rsidRDefault="00353389" w:rsidP="00353389">
      <w:pPr>
        <w:tabs>
          <w:tab w:val="left" w:pos="720"/>
        </w:tabs>
        <w:ind w:left="720" w:hanging="720"/>
      </w:pPr>
      <w:r w:rsidRPr="007F1A33">
        <w:t xml:space="preserve"> 0</w:t>
      </w:r>
      <w:r w:rsidRPr="007F1A33">
        <w:tab/>
        <w:t>– prakticky nevýznamný alebo irelevantný vplyv</w:t>
      </w:r>
    </w:p>
    <w:p w14:paraId="4368C977" w14:textId="77777777" w:rsidR="00353389" w:rsidRPr="007F1A33" w:rsidRDefault="00353389" w:rsidP="00353389">
      <w:pPr>
        <w:tabs>
          <w:tab w:val="left" w:pos="720"/>
        </w:tabs>
        <w:ind w:left="720" w:hanging="720"/>
      </w:pPr>
      <w:r w:rsidRPr="007F1A33">
        <w:t xml:space="preserve">-1 </w:t>
      </w:r>
      <w:r w:rsidRPr="007F1A33">
        <w:tab/>
        <w:t>– málo významný nepriaznivý vplyv, malého kvantitatívneho, územného alebo časového rozsahu</w:t>
      </w:r>
    </w:p>
    <w:p w14:paraId="2605AD54" w14:textId="77777777" w:rsidR="00353389" w:rsidRPr="007F1A33" w:rsidRDefault="00353389" w:rsidP="00353389">
      <w:pPr>
        <w:tabs>
          <w:tab w:val="left" w:pos="720"/>
        </w:tabs>
        <w:ind w:left="720" w:hanging="720"/>
      </w:pPr>
      <w:r w:rsidRPr="007F1A33">
        <w:t xml:space="preserve">-2 </w:t>
      </w:r>
      <w:r w:rsidRPr="007F1A33">
        <w:tab/>
        <w:t>– málo významný nepriaznivý vplyv, väčšieho kvantitatívneho, územného alebo časového rozsahu, ktorý môže byť zmiernený ochrannými opatreniami</w:t>
      </w:r>
    </w:p>
    <w:p w14:paraId="42D733DA" w14:textId="77777777" w:rsidR="00353389" w:rsidRPr="007F1A33" w:rsidRDefault="00353389" w:rsidP="00353389">
      <w:pPr>
        <w:tabs>
          <w:tab w:val="left" w:pos="720"/>
        </w:tabs>
        <w:ind w:left="720" w:hanging="720"/>
      </w:pPr>
      <w:r w:rsidRPr="007F1A33">
        <w:t xml:space="preserve">-3 </w:t>
      </w:r>
      <w:r w:rsidRPr="007F1A33">
        <w:tab/>
        <w:t>významný nepriaznivý vplyv malého kvantitatívneho, územného alebo časového rozsahu</w:t>
      </w:r>
    </w:p>
    <w:p w14:paraId="54ECFED9" w14:textId="77777777" w:rsidR="00353389" w:rsidRPr="007F1A33" w:rsidRDefault="00353389" w:rsidP="00353389">
      <w:pPr>
        <w:tabs>
          <w:tab w:val="left" w:pos="720"/>
        </w:tabs>
        <w:ind w:left="720" w:hanging="720"/>
      </w:pPr>
      <w:r w:rsidRPr="007F1A33">
        <w:t xml:space="preserve">-4 </w:t>
      </w:r>
      <w:r w:rsidRPr="007F1A33">
        <w:tab/>
        <w:t>– významný nepriaznivý vplyv väčšieho kvantitatívneho, územného alebo časového rozsahu, ktorý môže byť zmiernený ochrannými opatreniami</w:t>
      </w:r>
    </w:p>
    <w:p w14:paraId="22F99DB4" w14:textId="77777777" w:rsidR="00353389" w:rsidRPr="007F1A33" w:rsidRDefault="00353389" w:rsidP="00353389">
      <w:pPr>
        <w:tabs>
          <w:tab w:val="left" w:pos="720"/>
        </w:tabs>
        <w:ind w:left="720" w:hanging="720"/>
      </w:pPr>
      <w:r w:rsidRPr="007F1A33">
        <w:t>-5</w:t>
      </w:r>
      <w:r w:rsidRPr="007F1A33">
        <w:tab/>
        <w:t>– veľmi významný nepriaznivý vplyv veľkého kvantitatívneho územného alebo časového rozsahu, alebo menšieho kvantitatívneho, územného alebo časového rozsahu, ale nezmierniteľný ochrannými opatreniami.</w:t>
      </w:r>
    </w:p>
    <w:p w14:paraId="5D23D82F" w14:textId="77777777" w:rsidR="00353389" w:rsidRPr="007F1A33" w:rsidRDefault="00353389" w:rsidP="00353389">
      <w:pPr>
        <w:tabs>
          <w:tab w:val="left" w:pos="720"/>
        </w:tabs>
        <w:ind w:left="720" w:hanging="720"/>
      </w:pPr>
      <w:r w:rsidRPr="007F1A33">
        <w:t xml:space="preserve">+1 </w:t>
      </w:r>
      <w:r w:rsidRPr="007F1A33">
        <w:tab/>
        <w:t>– málo významný priaznivý vplyv, malého kvantitatívneho, územného alebo časového rozsahu</w:t>
      </w:r>
    </w:p>
    <w:p w14:paraId="43295C17" w14:textId="77777777" w:rsidR="00353389" w:rsidRPr="007F1A33" w:rsidRDefault="00353389" w:rsidP="00353389">
      <w:pPr>
        <w:tabs>
          <w:tab w:val="left" w:pos="720"/>
        </w:tabs>
        <w:ind w:left="720" w:hanging="720"/>
      </w:pPr>
      <w:r w:rsidRPr="007F1A33">
        <w:t xml:space="preserve">+2 </w:t>
      </w:r>
      <w:r w:rsidRPr="007F1A33">
        <w:tab/>
        <w:t xml:space="preserve">– málo významný priaznivý vplyv, väčšieho kvantitatívneho rozsahu, </w:t>
      </w:r>
      <w:proofErr w:type="spellStart"/>
      <w:r w:rsidRPr="007F1A33">
        <w:t>dlhodobejšieho</w:t>
      </w:r>
      <w:proofErr w:type="spellEnd"/>
      <w:r w:rsidRPr="007F1A33">
        <w:t xml:space="preserve"> charakteru alebo s pôsobením na väčšom území</w:t>
      </w:r>
    </w:p>
    <w:p w14:paraId="24BEB01B" w14:textId="77777777" w:rsidR="00353389" w:rsidRPr="007F1A33" w:rsidRDefault="00353389" w:rsidP="00353389">
      <w:pPr>
        <w:tabs>
          <w:tab w:val="left" w:pos="720"/>
        </w:tabs>
        <w:ind w:left="720" w:hanging="720"/>
      </w:pPr>
      <w:r w:rsidRPr="007F1A33">
        <w:t xml:space="preserve">+3 </w:t>
      </w:r>
      <w:r w:rsidRPr="007F1A33">
        <w:tab/>
        <w:t>– významný priaznivý vplyv malého kvantitatívneho, územného alebo časového rozsahu</w:t>
      </w:r>
    </w:p>
    <w:p w14:paraId="4276B5CE" w14:textId="77777777" w:rsidR="00353389" w:rsidRPr="007F1A33" w:rsidRDefault="00353389" w:rsidP="00353389">
      <w:pPr>
        <w:tabs>
          <w:tab w:val="left" w:pos="720"/>
        </w:tabs>
        <w:ind w:left="720" w:hanging="720"/>
      </w:pPr>
      <w:r w:rsidRPr="007F1A33">
        <w:t xml:space="preserve">+4 </w:t>
      </w:r>
      <w:r w:rsidRPr="007F1A33">
        <w:tab/>
        <w:t xml:space="preserve">– významný priaznivý vplyv väčšieho kvantitatívneho, územného alebo časového rozsahu, </w:t>
      </w:r>
    </w:p>
    <w:p w14:paraId="5F2969F0" w14:textId="77777777" w:rsidR="00353389" w:rsidRPr="007F1A33" w:rsidRDefault="00353389" w:rsidP="00353389">
      <w:pPr>
        <w:tabs>
          <w:tab w:val="left" w:pos="720"/>
        </w:tabs>
        <w:ind w:left="720" w:hanging="720"/>
      </w:pPr>
      <w:r w:rsidRPr="007F1A33">
        <w:lastRenderedPageBreak/>
        <w:t xml:space="preserve">+5 </w:t>
      </w:r>
      <w:r w:rsidRPr="007F1A33">
        <w:tab/>
        <w:t>– veľmi významný priaznivý vplyv veľkého kvantitatívneho územného alebo časového rozsahu</w:t>
      </w:r>
    </w:p>
    <w:p w14:paraId="52D20EAD" w14:textId="77777777" w:rsidR="00353389" w:rsidRDefault="00353389" w:rsidP="00353389"/>
    <w:p w14:paraId="25FF2133" w14:textId="41E99208" w:rsidR="00D81F0C" w:rsidRDefault="00353389" w:rsidP="00353389">
      <w:r>
        <w:t xml:space="preserve">Navrhovaná činnosť nebude mať </w:t>
      </w:r>
      <w:r w:rsidR="00D81F0C">
        <w:t xml:space="preserve">výrazný </w:t>
      </w:r>
      <w:r>
        <w:t xml:space="preserve">vplyv na existujúcu prevádzku výroby </w:t>
      </w:r>
      <w:r w:rsidR="00D81F0C">
        <w:t>plastových súčiastok, pretože efektívne dôjde k inštalácii technologicky identických zariadení ako sa v súčasnosti používajú a korešpondujúcemu navýšeniu kapacity výroby.</w:t>
      </w:r>
      <w:r>
        <w:t xml:space="preserve"> Realizovaním navrhovanej činnosti dôjde k navýšeniu produkcie niektorých druhov odpadov špecifických pre danú výrobu. Rovnako zavedením novej technológie </w:t>
      </w:r>
      <w:r w:rsidR="00D81F0C">
        <w:t>k zmene</w:t>
      </w:r>
      <w:r>
        <w:t xml:space="preserve"> zdroj</w:t>
      </w:r>
      <w:r w:rsidR="00D81F0C">
        <w:t>a</w:t>
      </w:r>
      <w:r>
        <w:t xml:space="preserve"> znečisťovania ovzdušia</w:t>
      </w:r>
      <w:r w:rsidR="00D81F0C">
        <w:t xml:space="preserve"> - vykurovanie</w:t>
      </w:r>
      <w:r>
        <w:t>.</w:t>
      </w:r>
    </w:p>
    <w:p w14:paraId="5F89F1AA" w14:textId="100B8BCE" w:rsidR="00353389" w:rsidRDefault="00353389" w:rsidP="00353389">
      <w:r>
        <w:t xml:space="preserve">  </w:t>
      </w:r>
    </w:p>
    <w:p w14:paraId="4A08F966" w14:textId="77777777" w:rsidR="00353389" w:rsidRDefault="00353389" w:rsidP="00353389">
      <w:pPr>
        <w:pStyle w:val="Nadpis2"/>
        <w:numPr>
          <w:ilvl w:val="0"/>
          <w:numId w:val="30"/>
        </w:numPr>
        <w:suppressAutoHyphens/>
        <w:spacing w:before="0"/>
        <w:ind w:left="714" w:hanging="357"/>
        <w:rPr>
          <w:rFonts w:asciiTheme="minorHAnsi" w:hAnsiTheme="minorHAnsi" w:cs="Calibri"/>
          <w:i w:val="0"/>
        </w:rPr>
      </w:pPr>
      <w:bookmarkStart w:id="47" w:name="_Toc366083384"/>
      <w:bookmarkStart w:id="48" w:name="_Toc371330844"/>
      <w:bookmarkStart w:id="49" w:name="_Toc30258426"/>
      <w:bookmarkStart w:id="50" w:name="_Toc31615210"/>
      <w:r w:rsidRPr="00365676">
        <w:rPr>
          <w:rFonts w:asciiTheme="minorHAnsi" w:hAnsiTheme="minorHAnsi" w:cs="Calibri"/>
          <w:i w:val="0"/>
        </w:rPr>
        <w:t>Vplyvy na prírodné prostredie</w:t>
      </w:r>
      <w:bookmarkEnd w:id="47"/>
      <w:bookmarkEnd w:id="48"/>
      <w:bookmarkEnd w:id="49"/>
      <w:bookmarkEnd w:id="50"/>
    </w:p>
    <w:p w14:paraId="55549472" w14:textId="77777777" w:rsidR="00353389" w:rsidRDefault="00353389" w:rsidP="00353389">
      <w:r w:rsidRPr="007F1A33">
        <w:t xml:space="preserve">Požiadavky na vstupy a možné výstupy, ktoré sú charakterizované vyššie môžu priamo alebo nepriamo vplývať na životné prostredie. Komplexné posúdenie významnosti prípadných vplyvov na životné prostredie je uvedené v nasledujúcej tabuľke. </w:t>
      </w:r>
    </w:p>
    <w:p w14:paraId="28CFC3D0" w14:textId="77777777" w:rsidR="00353389" w:rsidRPr="007F1A33" w:rsidRDefault="00353389" w:rsidP="00353389"/>
    <w:p w14:paraId="4597D9B4" w14:textId="0253D0EE" w:rsidR="00353389" w:rsidRDefault="00353389" w:rsidP="00353389">
      <w:pPr>
        <w:pStyle w:val="Popis"/>
        <w:keepNext/>
      </w:pPr>
      <w:bookmarkStart w:id="51" w:name="_Toc30497443"/>
      <w:r>
        <w:t xml:space="preserve">Tab. </w:t>
      </w:r>
      <w:r>
        <w:fldChar w:fldCharType="begin"/>
      </w:r>
      <w:r>
        <w:instrText xml:space="preserve"> SEQ Tab. \* ARABIC </w:instrText>
      </w:r>
      <w:r>
        <w:fldChar w:fldCharType="separate"/>
      </w:r>
      <w:r w:rsidR="00467FCC">
        <w:rPr>
          <w:noProof/>
        </w:rPr>
        <w:t>18</w:t>
      </w:r>
      <w:r>
        <w:fldChar w:fldCharType="end"/>
      </w:r>
      <w:r>
        <w:t xml:space="preserve"> - </w:t>
      </w:r>
      <w:r w:rsidRPr="007F1A33">
        <w:t>Komplexné posúdenie významnosti vplyvov na životné prostredie</w:t>
      </w:r>
      <w:bookmarkEnd w:id="51"/>
    </w:p>
    <w:tbl>
      <w:tblPr>
        <w:tblW w:w="88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4A0" w:firstRow="1" w:lastRow="0" w:firstColumn="1" w:lastColumn="0" w:noHBand="0" w:noVBand="1"/>
      </w:tblPr>
      <w:tblGrid>
        <w:gridCol w:w="2153"/>
        <w:gridCol w:w="4467"/>
        <w:gridCol w:w="728"/>
        <w:gridCol w:w="729"/>
        <w:gridCol w:w="756"/>
      </w:tblGrid>
      <w:tr w:rsidR="00353389" w:rsidRPr="007F1A33" w14:paraId="04C14661" w14:textId="77777777" w:rsidTr="00113A12">
        <w:trPr>
          <w:trHeight w:val="259"/>
          <w:tblHeader/>
          <w:jc w:val="center"/>
        </w:trPr>
        <w:tc>
          <w:tcPr>
            <w:tcW w:w="215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6D87B1BE" w14:textId="77777777" w:rsidR="00353389" w:rsidRPr="007F1A33" w:rsidRDefault="00353389" w:rsidP="00113A12">
            <w:pPr>
              <w:keepNext/>
              <w:jc w:val="center"/>
              <w:rPr>
                <w:b/>
              </w:rPr>
            </w:pPr>
            <w:r w:rsidRPr="007F1A33">
              <w:rPr>
                <w:b/>
              </w:rPr>
              <w:t>Prvok</w:t>
            </w:r>
          </w:p>
        </w:tc>
        <w:tc>
          <w:tcPr>
            <w:tcW w:w="4467"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09BAC0AF" w14:textId="77777777" w:rsidR="00353389" w:rsidRPr="007F1A33" w:rsidRDefault="00353389" w:rsidP="00113A12">
            <w:pPr>
              <w:jc w:val="center"/>
              <w:rPr>
                <w:b/>
              </w:rPr>
            </w:pPr>
            <w:r w:rsidRPr="007F1A33">
              <w:rPr>
                <w:b/>
              </w:rPr>
              <w:t>Vplyv</w:t>
            </w:r>
          </w:p>
        </w:tc>
        <w:tc>
          <w:tcPr>
            <w:tcW w:w="2213" w:type="dxa"/>
            <w:gridSpan w:val="3"/>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5C7EBA63" w14:textId="77777777" w:rsidR="00353389" w:rsidRPr="007F1A33" w:rsidRDefault="00353389" w:rsidP="00113A12">
            <w:pPr>
              <w:jc w:val="center"/>
              <w:rPr>
                <w:b/>
              </w:rPr>
            </w:pPr>
            <w:r w:rsidRPr="007F1A33">
              <w:rPr>
                <w:b/>
              </w:rPr>
              <w:t>Hodnotenie</w:t>
            </w:r>
          </w:p>
        </w:tc>
      </w:tr>
      <w:tr w:rsidR="00353389" w:rsidRPr="007F1A33" w14:paraId="54219EC9" w14:textId="77777777" w:rsidTr="00113A12">
        <w:trPr>
          <w:trHeight w:val="279"/>
          <w:tblHeader/>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05B5A59F" w14:textId="77777777" w:rsidR="00353389" w:rsidRPr="007F1A33" w:rsidRDefault="00353389" w:rsidP="00113A12"/>
        </w:tc>
        <w:tc>
          <w:tcPr>
            <w:tcW w:w="4467"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249F88F3" w14:textId="77777777" w:rsidR="00353389" w:rsidRPr="007F1A33" w:rsidRDefault="00353389" w:rsidP="00113A12"/>
        </w:tc>
        <w:tc>
          <w:tcPr>
            <w:tcW w:w="728"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175590FF" w14:textId="77777777" w:rsidR="00353389" w:rsidRPr="007F1A33" w:rsidRDefault="00353389" w:rsidP="00113A12">
            <w:pPr>
              <w:jc w:val="center"/>
              <w:rPr>
                <w:b/>
              </w:rPr>
            </w:pPr>
            <w:r w:rsidRPr="007F1A33">
              <w:rPr>
                <w:b/>
              </w:rPr>
              <w:t>-</w:t>
            </w:r>
          </w:p>
        </w:tc>
        <w:tc>
          <w:tcPr>
            <w:tcW w:w="72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48A83B63" w14:textId="77777777" w:rsidR="00353389" w:rsidRPr="007F1A33" w:rsidRDefault="00353389" w:rsidP="00113A12">
            <w:pPr>
              <w:jc w:val="center"/>
              <w:rPr>
                <w:b/>
              </w:rPr>
            </w:pPr>
            <w:r w:rsidRPr="007F1A33">
              <w:rPr>
                <w:b/>
              </w:rPr>
              <w:t>0</w:t>
            </w:r>
          </w:p>
        </w:tc>
        <w:tc>
          <w:tcPr>
            <w:tcW w:w="756"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30" w:type="dxa"/>
            </w:tcMar>
            <w:vAlign w:val="center"/>
          </w:tcPr>
          <w:p w14:paraId="78FB1A01" w14:textId="77777777" w:rsidR="00353389" w:rsidRPr="007F1A33" w:rsidRDefault="00353389" w:rsidP="00113A12">
            <w:pPr>
              <w:jc w:val="center"/>
              <w:rPr>
                <w:b/>
              </w:rPr>
            </w:pPr>
            <w:r w:rsidRPr="007F1A33">
              <w:rPr>
                <w:b/>
              </w:rPr>
              <w:t>+</w:t>
            </w:r>
          </w:p>
        </w:tc>
      </w:tr>
      <w:tr w:rsidR="00353389" w:rsidRPr="007F1A33" w14:paraId="76EC911C" w14:textId="77777777" w:rsidTr="00113A12">
        <w:trPr>
          <w:trHeight w:val="305"/>
          <w:jc w:val="center"/>
        </w:trPr>
        <w:tc>
          <w:tcPr>
            <w:tcW w:w="215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8D559C4" w14:textId="77777777" w:rsidR="00353389" w:rsidRPr="007F1A33" w:rsidRDefault="00353389" w:rsidP="00113A12">
            <w:pPr>
              <w:jc w:val="center"/>
              <w:rPr>
                <w:b/>
              </w:rPr>
            </w:pPr>
            <w:r w:rsidRPr="007F1A33">
              <w:rPr>
                <w:b/>
              </w:rPr>
              <w:t>Horninové prostredie</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1BE17864" w14:textId="77777777" w:rsidR="00353389" w:rsidRPr="007F1A33" w:rsidRDefault="00353389" w:rsidP="00113A12">
            <w:r w:rsidRPr="007F1A33">
              <w:t>Narušenie ložísk surovín</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3D4530B"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7382A81B" w14:textId="77777777" w:rsidR="00353389" w:rsidRPr="003F33B0" w:rsidRDefault="00353389" w:rsidP="00113A12">
            <w:pPr>
              <w:jc w:val="center"/>
              <w:rPr>
                <w:highlight w:val="yellow"/>
              </w:rP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76780F36" w14:textId="77777777" w:rsidR="00353389" w:rsidRPr="003F33B0" w:rsidRDefault="00353389" w:rsidP="00113A12">
            <w:pPr>
              <w:jc w:val="center"/>
              <w:rPr>
                <w:highlight w:val="yellow"/>
              </w:rPr>
            </w:pPr>
          </w:p>
        </w:tc>
      </w:tr>
      <w:tr w:rsidR="00353389" w:rsidRPr="007F1A33" w14:paraId="25F3AE48"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C87E12C"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33D63485" w14:textId="77777777" w:rsidR="00353389" w:rsidRPr="007F1A33" w:rsidRDefault="00353389" w:rsidP="00113A12">
            <w:r w:rsidRPr="007F1A33">
              <w:t>Narušenie stability svahov</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BA99C92"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74E8671A"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2C83706" w14:textId="77777777" w:rsidR="00353389" w:rsidRPr="003F33B0" w:rsidRDefault="00353389" w:rsidP="00113A12">
            <w:pPr>
              <w:jc w:val="center"/>
              <w:rPr>
                <w:highlight w:val="yellow"/>
              </w:rPr>
            </w:pPr>
          </w:p>
        </w:tc>
      </w:tr>
      <w:tr w:rsidR="00353389" w:rsidRPr="007F1A33" w14:paraId="2EF29542"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071D67A"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7A3DC362" w14:textId="77777777" w:rsidR="00353389" w:rsidRPr="007F1A33" w:rsidRDefault="00353389" w:rsidP="00113A12">
            <w:r w:rsidRPr="007F1A33">
              <w:t>Potenciálne znečistenie horninového prostredia</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E7D883B" w14:textId="77777777" w:rsidR="00353389" w:rsidRPr="003F33B0" w:rsidRDefault="00353389" w:rsidP="00113A12">
            <w:pPr>
              <w:jc w:val="center"/>
              <w:rPr>
                <w:highlight w:val="yellow"/>
              </w:rP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0DFFC34"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BDB1648" w14:textId="77777777" w:rsidR="00353389" w:rsidRPr="003F33B0" w:rsidRDefault="00353389" w:rsidP="00113A12">
            <w:pPr>
              <w:jc w:val="center"/>
              <w:rPr>
                <w:highlight w:val="yellow"/>
              </w:rPr>
            </w:pPr>
          </w:p>
        </w:tc>
      </w:tr>
      <w:tr w:rsidR="00353389" w:rsidRPr="007F1A33" w14:paraId="636443AB"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B54DB4C"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716DAFAC" w14:textId="77777777" w:rsidR="00353389" w:rsidRPr="007F1A33" w:rsidRDefault="00353389" w:rsidP="00113A12">
            <w:r w:rsidRPr="007F1A33">
              <w:t>Narušenie geologického prostredia</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7F95B1D"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429244D"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96283BA" w14:textId="77777777" w:rsidR="00353389" w:rsidRPr="003F33B0" w:rsidRDefault="00353389" w:rsidP="00113A12">
            <w:pPr>
              <w:jc w:val="center"/>
              <w:rPr>
                <w:highlight w:val="yellow"/>
              </w:rPr>
            </w:pPr>
          </w:p>
        </w:tc>
      </w:tr>
      <w:tr w:rsidR="00353389" w:rsidRPr="007F1A33" w14:paraId="18B9983F" w14:textId="77777777" w:rsidTr="00113A12">
        <w:trPr>
          <w:trHeight w:val="305"/>
          <w:jc w:val="center"/>
        </w:trPr>
        <w:tc>
          <w:tcPr>
            <w:tcW w:w="215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884F3CE" w14:textId="77777777" w:rsidR="00353389" w:rsidRPr="007F1A33" w:rsidRDefault="00353389" w:rsidP="00113A12">
            <w:pPr>
              <w:jc w:val="center"/>
              <w:rPr>
                <w:b/>
              </w:rPr>
            </w:pPr>
            <w:r w:rsidRPr="007F1A33">
              <w:rPr>
                <w:b/>
              </w:rPr>
              <w:t>Pôdy</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3F89E2E7" w14:textId="77777777" w:rsidR="00353389" w:rsidRPr="007F1A33" w:rsidRDefault="00353389" w:rsidP="00113A12">
            <w:r w:rsidRPr="007F1A33">
              <w:t>Záber pôdy</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7D2932F" w14:textId="77777777" w:rsidR="00353389" w:rsidRPr="00F70153" w:rsidRDefault="00353389" w:rsidP="00113A12">
            <w:pPr>
              <w:jc w:val="cente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4652EB1" w14:textId="77777777" w:rsidR="00353389" w:rsidRPr="003F33B0" w:rsidRDefault="00353389" w:rsidP="00113A12">
            <w:pPr>
              <w:jc w:val="center"/>
              <w:rPr>
                <w:highlight w:val="yellow"/>
              </w:rP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8BD141E" w14:textId="77777777" w:rsidR="00353389" w:rsidRPr="003F33B0" w:rsidRDefault="00353389" w:rsidP="00113A12">
            <w:pPr>
              <w:jc w:val="center"/>
              <w:rPr>
                <w:highlight w:val="yellow"/>
              </w:rPr>
            </w:pPr>
          </w:p>
        </w:tc>
      </w:tr>
      <w:tr w:rsidR="00353389" w:rsidRPr="007F1A33" w14:paraId="16A0DD70"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3125818"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11CA54D5" w14:textId="77777777" w:rsidR="00353389" w:rsidRPr="007F1A33" w:rsidRDefault="00353389" w:rsidP="00113A12">
            <w:r w:rsidRPr="007F1A33">
              <w:t>Potenciálna kontaminácia pôd</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A252721" w14:textId="77777777" w:rsidR="00353389" w:rsidRPr="00F70153" w:rsidRDefault="00353389" w:rsidP="00113A12">
            <w:pPr>
              <w:jc w:val="cente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E5AD5DC" w14:textId="77777777" w:rsidR="00353389" w:rsidRPr="003F33B0" w:rsidRDefault="00353389" w:rsidP="00113A12">
            <w:pPr>
              <w:jc w:val="center"/>
              <w:rPr>
                <w:highlight w:val="yellow"/>
              </w:rP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DCB2D98" w14:textId="77777777" w:rsidR="00353389" w:rsidRPr="003F33B0" w:rsidRDefault="00353389" w:rsidP="00113A12">
            <w:pPr>
              <w:jc w:val="center"/>
              <w:rPr>
                <w:highlight w:val="yellow"/>
              </w:rPr>
            </w:pPr>
          </w:p>
        </w:tc>
      </w:tr>
      <w:tr w:rsidR="00353389" w:rsidRPr="007F1A33" w14:paraId="618EC894"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45BD486"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41F4F36B" w14:textId="77777777" w:rsidR="00353389" w:rsidRPr="007F1A33" w:rsidRDefault="00353389" w:rsidP="00113A12">
            <w:r w:rsidRPr="007F1A33">
              <w:t>Erózia pôd</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D2B286F"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BBB1EFD" w14:textId="77777777" w:rsidR="00353389" w:rsidRPr="003F33B0" w:rsidRDefault="00353389" w:rsidP="00113A12">
            <w:pPr>
              <w:jc w:val="center"/>
              <w:rPr>
                <w:highlight w:val="yellow"/>
              </w:rP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4A0A2B5" w14:textId="77777777" w:rsidR="00353389" w:rsidRPr="003F33B0" w:rsidRDefault="00353389" w:rsidP="00113A12">
            <w:pPr>
              <w:jc w:val="center"/>
              <w:rPr>
                <w:highlight w:val="yellow"/>
              </w:rPr>
            </w:pPr>
          </w:p>
        </w:tc>
      </w:tr>
      <w:tr w:rsidR="00353389" w:rsidRPr="007F1A33" w14:paraId="1FBEDB76" w14:textId="77777777" w:rsidTr="00113A12">
        <w:trPr>
          <w:trHeight w:val="305"/>
          <w:jc w:val="center"/>
        </w:trPr>
        <w:tc>
          <w:tcPr>
            <w:tcW w:w="2153" w:type="dxa"/>
            <w:vMerge w:val="restart"/>
            <w:tcBorders>
              <w:top w:val="single" w:sz="4" w:space="0" w:color="00000A"/>
              <w:left w:val="single" w:sz="4" w:space="0" w:color="00000A"/>
              <w:right w:val="single" w:sz="4" w:space="0" w:color="00000A"/>
            </w:tcBorders>
            <w:shd w:val="clear" w:color="auto" w:fill="FFFFFF"/>
            <w:tcMar>
              <w:left w:w="30" w:type="dxa"/>
            </w:tcMar>
            <w:vAlign w:val="center"/>
          </w:tcPr>
          <w:p w14:paraId="3DB1B2E7" w14:textId="77777777" w:rsidR="00353389" w:rsidRPr="007F1A33" w:rsidRDefault="00353389" w:rsidP="00113A12">
            <w:pPr>
              <w:jc w:val="center"/>
              <w:rPr>
                <w:b/>
              </w:rPr>
            </w:pPr>
            <w:r w:rsidRPr="007F1A33">
              <w:rPr>
                <w:b/>
              </w:rPr>
              <w:t>Povrchové  a podzemné vody</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6529194A" w14:textId="77777777" w:rsidR="00353389" w:rsidRPr="007F1A33" w:rsidRDefault="00353389" w:rsidP="00113A12">
            <w:r w:rsidRPr="007F1A33">
              <w:t>Potenciálne znečistenie povrchových vôd</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74BC0FC2" w14:textId="77777777" w:rsidR="00353389" w:rsidRPr="00F70153" w:rsidRDefault="00353389" w:rsidP="00113A12">
            <w:pPr>
              <w:jc w:val="cente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DB58A8C"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8910D79" w14:textId="77777777" w:rsidR="00353389" w:rsidRPr="003F33B0" w:rsidRDefault="00353389" w:rsidP="00113A12">
            <w:pPr>
              <w:jc w:val="center"/>
              <w:rPr>
                <w:highlight w:val="yellow"/>
              </w:rPr>
            </w:pPr>
          </w:p>
        </w:tc>
      </w:tr>
      <w:tr w:rsidR="00353389" w:rsidRPr="007F1A33" w14:paraId="4F741012"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77F6050C"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342C8CA1" w14:textId="77777777" w:rsidR="00353389" w:rsidRPr="007F1A33" w:rsidRDefault="00353389" w:rsidP="00113A12">
            <w:r w:rsidRPr="007F1A33">
              <w:t>Potenciálne znečistenie podzemných vôd</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C1BCC4A" w14:textId="77777777" w:rsidR="00353389" w:rsidRPr="00F70153" w:rsidRDefault="00353389" w:rsidP="00113A12">
            <w:pPr>
              <w:jc w:val="cente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178F784"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8BC6B7A" w14:textId="77777777" w:rsidR="00353389" w:rsidRPr="003F33B0" w:rsidRDefault="00353389" w:rsidP="00113A12">
            <w:pPr>
              <w:jc w:val="center"/>
              <w:rPr>
                <w:highlight w:val="yellow"/>
              </w:rPr>
            </w:pPr>
          </w:p>
        </w:tc>
      </w:tr>
      <w:tr w:rsidR="00353389" w:rsidRPr="007F1A33" w14:paraId="228C93BB" w14:textId="77777777" w:rsidTr="00113A12">
        <w:trPr>
          <w:trHeight w:val="305"/>
          <w:jc w:val="center"/>
        </w:trPr>
        <w:tc>
          <w:tcPr>
            <w:tcW w:w="2153" w:type="dxa"/>
            <w:vMerge/>
            <w:tcBorders>
              <w:left w:val="single" w:sz="4" w:space="0" w:color="00000A"/>
              <w:bottom w:val="single" w:sz="4" w:space="0" w:color="00000A"/>
              <w:right w:val="single" w:sz="4" w:space="0" w:color="00000A"/>
            </w:tcBorders>
            <w:shd w:val="clear" w:color="auto" w:fill="FFFFFF"/>
            <w:tcMar>
              <w:left w:w="30" w:type="dxa"/>
            </w:tcMar>
            <w:vAlign w:val="center"/>
          </w:tcPr>
          <w:p w14:paraId="329959D5"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40180B4F" w14:textId="77777777" w:rsidR="00353389" w:rsidRPr="007F1A33" w:rsidRDefault="00353389" w:rsidP="00113A12">
            <w:r w:rsidRPr="007F1A33">
              <w:t>Zmena odtokových pomerov</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7576A1C0"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3282A99"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6F7267F" w14:textId="77777777" w:rsidR="00353389" w:rsidRPr="003F33B0" w:rsidRDefault="00353389" w:rsidP="00113A12">
            <w:pPr>
              <w:jc w:val="center"/>
              <w:rPr>
                <w:highlight w:val="yellow"/>
              </w:rPr>
            </w:pPr>
          </w:p>
        </w:tc>
      </w:tr>
      <w:tr w:rsidR="00353389" w:rsidRPr="007F1A33" w14:paraId="3DDE5D6E" w14:textId="77777777" w:rsidTr="00113A12">
        <w:trPr>
          <w:trHeight w:val="305"/>
          <w:jc w:val="center"/>
        </w:trPr>
        <w:tc>
          <w:tcPr>
            <w:tcW w:w="2153" w:type="dxa"/>
            <w:vMerge w:val="restart"/>
            <w:tcBorders>
              <w:top w:val="single" w:sz="4" w:space="0" w:color="00000A"/>
              <w:left w:val="single" w:sz="4" w:space="0" w:color="00000A"/>
              <w:right w:val="single" w:sz="4" w:space="0" w:color="00000A"/>
            </w:tcBorders>
            <w:shd w:val="clear" w:color="auto" w:fill="FFFFFF"/>
            <w:tcMar>
              <w:left w:w="30" w:type="dxa"/>
            </w:tcMar>
            <w:vAlign w:val="center"/>
          </w:tcPr>
          <w:p w14:paraId="060C2C40" w14:textId="77777777" w:rsidR="00353389" w:rsidRPr="007F1A33" w:rsidRDefault="00353389" w:rsidP="00113A12">
            <w:pPr>
              <w:jc w:val="center"/>
              <w:rPr>
                <w:b/>
              </w:rPr>
            </w:pPr>
            <w:r w:rsidRPr="007F1A33">
              <w:rPr>
                <w:b/>
              </w:rPr>
              <w:t>Ovzdušie</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1C0A5963" w14:textId="77777777" w:rsidR="00353389" w:rsidRPr="007F1A33" w:rsidRDefault="00353389" w:rsidP="00113A12">
            <w:r w:rsidRPr="007F1A33">
              <w:t xml:space="preserve">Emisie znečisťujúcich látok z dopravy </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5413DF0A" w14:textId="77777777" w:rsidR="00353389" w:rsidRPr="00F70153" w:rsidRDefault="00353389" w:rsidP="00113A12">
            <w:pPr>
              <w:jc w:val="cente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96065B1"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229EFB9" w14:textId="77777777" w:rsidR="00353389" w:rsidRPr="003F33B0" w:rsidRDefault="00353389" w:rsidP="00113A12">
            <w:pPr>
              <w:jc w:val="center"/>
              <w:rPr>
                <w:highlight w:val="yellow"/>
              </w:rPr>
            </w:pPr>
          </w:p>
        </w:tc>
      </w:tr>
      <w:tr w:rsidR="00353389" w:rsidRPr="007F1A33" w14:paraId="21A7B76B" w14:textId="77777777" w:rsidTr="00113A12">
        <w:trPr>
          <w:trHeight w:val="305"/>
          <w:jc w:val="center"/>
        </w:trPr>
        <w:tc>
          <w:tcPr>
            <w:tcW w:w="2153" w:type="dxa"/>
            <w:vMerge/>
            <w:tcBorders>
              <w:top w:val="single" w:sz="4" w:space="0" w:color="00000A"/>
              <w:left w:val="single" w:sz="4" w:space="0" w:color="00000A"/>
              <w:right w:val="single" w:sz="4" w:space="0" w:color="00000A"/>
            </w:tcBorders>
            <w:shd w:val="clear" w:color="auto" w:fill="FFFFFF"/>
            <w:tcMar>
              <w:left w:w="30" w:type="dxa"/>
            </w:tcMar>
            <w:vAlign w:val="center"/>
          </w:tcPr>
          <w:p w14:paraId="16B31AE8"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701BF6DE" w14:textId="77777777" w:rsidR="00353389" w:rsidRPr="007F1A33" w:rsidRDefault="00353389" w:rsidP="00113A12">
            <w:r w:rsidRPr="007F1A33">
              <w:t>Emisie znečisťujúcich látok z</w:t>
            </w:r>
            <w:r>
              <w:t> výroby</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7BDA9283" w14:textId="288747C3" w:rsidR="00353389" w:rsidRPr="00F70153" w:rsidRDefault="00353389" w:rsidP="00113A12">
            <w:pPr>
              <w:jc w:val="center"/>
            </w:pP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B33B324" w14:textId="68D8BE95" w:rsidR="00353389" w:rsidRPr="00F70153" w:rsidRDefault="00AC05B5" w:rsidP="00113A12">
            <w:pPr>
              <w:jc w:val="center"/>
            </w:pPr>
            <w:r>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96C0FD1" w14:textId="77777777" w:rsidR="00353389" w:rsidRPr="003F33B0" w:rsidRDefault="00353389" w:rsidP="00113A12">
            <w:pPr>
              <w:jc w:val="center"/>
              <w:rPr>
                <w:highlight w:val="yellow"/>
              </w:rPr>
            </w:pPr>
          </w:p>
        </w:tc>
      </w:tr>
      <w:tr w:rsidR="00AC05B5" w:rsidRPr="007F1A33" w14:paraId="1D3C34B5" w14:textId="77777777" w:rsidTr="00113A12">
        <w:trPr>
          <w:trHeight w:val="305"/>
          <w:jc w:val="center"/>
        </w:trPr>
        <w:tc>
          <w:tcPr>
            <w:tcW w:w="2153" w:type="dxa"/>
            <w:vMerge/>
            <w:tcBorders>
              <w:top w:val="single" w:sz="4" w:space="0" w:color="00000A"/>
              <w:left w:val="single" w:sz="4" w:space="0" w:color="00000A"/>
              <w:right w:val="single" w:sz="4" w:space="0" w:color="00000A"/>
            </w:tcBorders>
            <w:shd w:val="clear" w:color="auto" w:fill="FFFFFF"/>
            <w:tcMar>
              <w:left w:w="30" w:type="dxa"/>
            </w:tcMar>
            <w:vAlign w:val="center"/>
          </w:tcPr>
          <w:p w14:paraId="69E08E23" w14:textId="77777777" w:rsidR="00AC05B5" w:rsidRPr="007F1A33" w:rsidRDefault="00AC05B5"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66B9BB97" w14:textId="3F89ACCD" w:rsidR="00AC05B5" w:rsidRPr="007F1A33" w:rsidRDefault="00AC05B5" w:rsidP="00113A12">
            <w:r w:rsidRPr="007F1A33">
              <w:t>Emisie znečisťujúcich látok z</w:t>
            </w:r>
            <w:r>
              <w:t> vykurovania</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7E5E78C0" w14:textId="4BAFF01D" w:rsidR="00AC05B5" w:rsidRPr="00F70153" w:rsidRDefault="00AC05B5" w:rsidP="00113A12">
            <w:pPr>
              <w:jc w:val="center"/>
            </w:pPr>
            <w:r>
              <w:t>-1</w:t>
            </w:r>
          </w:p>
        </w:tc>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94B6958" w14:textId="77777777" w:rsidR="00AC05B5" w:rsidRDefault="00AC05B5"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D1517BB" w14:textId="77777777" w:rsidR="00AC05B5" w:rsidRPr="003F33B0" w:rsidRDefault="00AC05B5" w:rsidP="00113A12">
            <w:pPr>
              <w:jc w:val="center"/>
              <w:rPr>
                <w:highlight w:val="yellow"/>
              </w:rPr>
            </w:pPr>
          </w:p>
        </w:tc>
      </w:tr>
      <w:tr w:rsidR="00353389" w:rsidRPr="007F1A33" w14:paraId="7FAFBC33"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3A344C54"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0360FECC" w14:textId="77777777" w:rsidR="00353389" w:rsidRPr="007F1A33" w:rsidRDefault="00353389" w:rsidP="00113A12">
            <w:r w:rsidRPr="007F1A33">
              <w:t>Prašnosť</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B1B8824" w14:textId="77777777" w:rsidR="00353389" w:rsidRPr="00F70153" w:rsidRDefault="00353389" w:rsidP="00113A12">
            <w:pPr>
              <w:jc w:val="cente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2A42911D"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6C5DCAD" w14:textId="77777777" w:rsidR="00353389" w:rsidRPr="003F33B0" w:rsidRDefault="00353389" w:rsidP="00113A12">
            <w:pPr>
              <w:jc w:val="center"/>
              <w:rPr>
                <w:highlight w:val="yellow"/>
              </w:rPr>
            </w:pPr>
          </w:p>
        </w:tc>
      </w:tr>
      <w:tr w:rsidR="00353389" w:rsidRPr="007F1A33" w14:paraId="1086A692" w14:textId="77777777" w:rsidTr="00113A12">
        <w:trPr>
          <w:trHeight w:val="305"/>
          <w:jc w:val="center"/>
        </w:trPr>
        <w:tc>
          <w:tcPr>
            <w:tcW w:w="2153" w:type="dxa"/>
            <w:vMerge/>
            <w:tcBorders>
              <w:left w:val="single" w:sz="4" w:space="0" w:color="00000A"/>
              <w:bottom w:val="single" w:sz="4" w:space="0" w:color="00000A"/>
              <w:right w:val="single" w:sz="4" w:space="0" w:color="00000A"/>
            </w:tcBorders>
            <w:shd w:val="clear" w:color="auto" w:fill="FFFFFF"/>
            <w:tcMar>
              <w:left w:w="30" w:type="dxa"/>
            </w:tcMar>
            <w:vAlign w:val="center"/>
          </w:tcPr>
          <w:p w14:paraId="13D3EB30"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43F25140" w14:textId="77777777" w:rsidR="00353389" w:rsidRPr="007F1A33" w:rsidRDefault="00353389" w:rsidP="00113A12">
            <w:r w:rsidRPr="007F1A33">
              <w:t xml:space="preserve">Emisie pachových znečisťujúcich látok </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223E2A9" w14:textId="77777777" w:rsidR="00353389" w:rsidRPr="00F70153" w:rsidRDefault="00353389" w:rsidP="00113A12">
            <w:pPr>
              <w:jc w:val="cente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75BB4223"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BE52344" w14:textId="77777777" w:rsidR="00353389" w:rsidRPr="003F33B0" w:rsidRDefault="00353389" w:rsidP="00113A12">
            <w:pPr>
              <w:jc w:val="center"/>
              <w:rPr>
                <w:highlight w:val="yellow"/>
              </w:rPr>
            </w:pPr>
          </w:p>
        </w:tc>
      </w:tr>
      <w:tr w:rsidR="00353389" w:rsidRPr="007F1A33" w14:paraId="0245A739" w14:textId="77777777" w:rsidTr="00113A12">
        <w:trPr>
          <w:trHeight w:val="305"/>
          <w:jc w:val="center"/>
        </w:trPr>
        <w:tc>
          <w:tcPr>
            <w:tcW w:w="2153" w:type="dxa"/>
            <w:vMerge w:val="restart"/>
            <w:tcBorders>
              <w:top w:val="single" w:sz="4" w:space="0" w:color="00000A"/>
              <w:left w:val="single" w:sz="4" w:space="0" w:color="00000A"/>
              <w:right w:val="single" w:sz="4" w:space="0" w:color="00000A"/>
            </w:tcBorders>
            <w:shd w:val="clear" w:color="auto" w:fill="FFFFFF"/>
            <w:tcMar>
              <w:left w:w="30" w:type="dxa"/>
            </w:tcMar>
            <w:vAlign w:val="center"/>
          </w:tcPr>
          <w:p w14:paraId="18B0F1BA" w14:textId="77777777" w:rsidR="00353389" w:rsidRPr="007F1A33" w:rsidRDefault="00353389" w:rsidP="00113A12">
            <w:pPr>
              <w:jc w:val="center"/>
              <w:rPr>
                <w:b/>
              </w:rPr>
            </w:pPr>
            <w:r w:rsidRPr="007F1A33">
              <w:rPr>
                <w:b/>
              </w:rPr>
              <w:t>Flóra</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5736395F" w14:textId="77777777" w:rsidR="00353389" w:rsidRPr="007F1A33" w:rsidRDefault="00353389" w:rsidP="00113A12">
            <w:r w:rsidRPr="007F1A33">
              <w:t>Výrub stromov a krovín vegetácie</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643D251"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02E86158"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7EB205F" w14:textId="77777777" w:rsidR="00353389" w:rsidRPr="003F33B0" w:rsidRDefault="00353389" w:rsidP="00113A12">
            <w:pPr>
              <w:jc w:val="center"/>
              <w:rPr>
                <w:highlight w:val="yellow"/>
              </w:rPr>
            </w:pPr>
          </w:p>
        </w:tc>
      </w:tr>
      <w:tr w:rsidR="00353389" w:rsidRPr="007F1A33" w14:paraId="2653D0C0"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452CDD7E"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653A15EC" w14:textId="77777777" w:rsidR="00353389" w:rsidRPr="007F1A33" w:rsidRDefault="00353389" w:rsidP="00113A12">
            <w:r w:rsidRPr="007F1A33">
              <w:t>Výsadba a starostlivosť o náhradu vegetácie</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067E5D7"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2CE91A2F"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59E55F2" w14:textId="77777777" w:rsidR="00353389" w:rsidRPr="003F33B0" w:rsidRDefault="00353389" w:rsidP="00113A12">
            <w:pPr>
              <w:jc w:val="center"/>
              <w:rPr>
                <w:highlight w:val="yellow"/>
              </w:rPr>
            </w:pPr>
          </w:p>
        </w:tc>
      </w:tr>
      <w:tr w:rsidR="00353389" w:rsidRPr="007F1A33" w14:paraId="1ED02A76"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787C1330"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4AF9168B" w14:textId="77777777" w:rsidR="00353389" w:rsidRPr="007F1A33" w:rsidRDefault="00353389" w:rsidP="00113A12">
            <w:proofErr w:type="spellStart"/>
            <w:r w:rsidRPr="007F1A33">
              <w:t>Ruderalizácia</w:t>
            </w:r>
            <w:proofErr w:type="spellEnd"/>
            <w:r w:rsidRPr="007F1A33">
              <w:t xml:space="preserve"> plôch</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0E2A0F2"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21454493"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79647B03" w14:textId="77777777" w:rsidR="00353389" w:rsidRPr="003F33B0" w:rsidRDefault="00353389" w:rsidP="00113A12">
            <w:pPr>
              <w:jc w:val="center"/>
              <w:rPr>
                <w:highlight w:val="yellow"/>
              </w:rPr>
            </w:pPr>
          </w:p>
        </w:tc>
      </w:tr>
      <w:tr w:rsidR="00353389" w:rsidRPr="007F1A33" w14:paraId="46D02268"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32F9BAD3"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3180EED8" w14:textId="77777777" w:rsidR="00353389" w:rsidRPr="007F1A33" w:rsidRDefault="00353389" w:rsidP="00113A12">
            <w:r w:rsidRPr="007F1A33">
              <w:t>Zmeny v pestrosti vegetácie</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A57A52B"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4F682E26"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ABF453D" w14:textId="77777777" w:rsidR="00353389" w:rsidRPr="003F33B0" w:rsidRDefault="00353389" w:rsidP="00113A12">
            <w:pPr>
              <w:jc w:val="center"/>
              <w:rPr>
                <w:highlight w:val="yellow"/>
              </w:rPr>
            </w:pPr>
          </w:p>
        </w:tc>
      </w:tr>
      <w:tr w:rsidR="00353389" w:rsidRPr="007F1A33" w14:paraId="7358A6FD"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39C4C32D"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4C80758E" w14:textId="77777777" w:rsidR="00353389" w:rsidRPr="007F1A33" w:rsidRDefault="00353389" w:rsidP="00113A12">
            <w:r w:rsidRPr="007F1A33">
              <w:t>Krátenie cenných biotopov</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772AAB1D"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3AF37245"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87388ED" w14:textId="77777777" w:rsidR="00353389" w:rsidRPr="003F33B0" w:rsidRDefault="00353389" w:rsidP="00113A12">
            <w:pPr>
              <w:jc w:val="center"/>
              <w:rPr>
                <w:highlight w:val="yellow"/>
              </w:rPr>
            </w:pPr>
          </w:p>
        </w:tc>
      </w:tr>
      <w:tr w:rsidR="00353389" w:rsidRPr="007F1A33" w14:paraId="1C28346A" w14:textId="77777777" w:rsidTr="00113A12">
        <w:trPr>
          <w:trHeight w:val="305"/>
          <w:jc w:val="center"/>
        </w:trPr>
        <w:tc>
          <w:tcPr>
            <w:tcW w:w="2153" w:type="dxa"/>
            <w:vMerge/>
            <w:tcBorders>
              <w:left w:val="single" w:sz="4" w:space="0" w:color="00000A"/>
              <w:bottom w:val="single" w:sz="4" w:space="0" w:color="00000A"/>
              <w:right w:val="single" w:sz="4" w:space="0" w:color="00000A"/>
            </w:tcBorders>
            <w:shd w:val="clear" w:color="auto" w:fill="FFFFFF"/>
            <w:tcMar>
              <w:left w:w="30" w:type="dxa"/>
            </w:tcMar>
            <w:vAlign w:val="center"/>
          </w:tcPr>
          <w:p w14:paraId="2B0B2F46" w14:textId="77777777" w:rsidR="00353389" w:rsidRPr="007F1A33"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6721518A" w14:textId="77777777" w:rsidR="00353389" w:rsidRPr="007F1A33" w:rsidRDefault="00353389" w:rsidP="00113A12">
            <w:r w:rsidRPr="007F1A33">
              <w:t>Vplyv imisií</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442156B" w14:textId="77777777" w:rsidR="00353389" w:rsidRPr="003F33B0" w:rsidRDefault="00353389" w:rsidP="00113A12">
            <w:pPr>
              <w:jc w:val="center"/>
              <w:rPr>
                <w:highlight w:val="yellow"/>
              </w:rP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763C6E21"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759D40A" w14:textId="77777777" w:rsidR="00353389" w:rsidRPr="003F33B0" w:rsidRDefault="00353389" w:rsidP="00113A12">
            <w:pPr>
              <w:jc w:val="center"/>
              <w:rPr>
                <w:highlight w:val="yellow"/>
              </w:rPr>
            </w:pPr>
          </w:p>
        </w:tc>
      </w:tr>
      <w:tr w:rsidR="00353389" w:rsidRPr="007F1A33" w14:paraId="3B282492" w14:textId="77777777" w:rsidTr="00113A12">
        <w:trPr>
          <w:trHeight w:val="305"/>
          <w:jc w:val="center"/>
        </w:trPr>
        <w:tc>
          <w:tcPr>
            <w:tcW w:w="215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D6F8380" w14:textId="77777777" w:rsidR="00353389" w:rsidRPr="007F1A33" w:rsidRDefault="00353389" w:rsidP="00113A12">
            <w:pPr>
              <w:jc w:val="center"/>
              <w:rPr>
                <w:b/>
              </w:rPr>
            </w:pPr>
            <w:r w:rsidRPr="007F1A33">
              <w:rPr>
                <w:b/>
              </w:rPr>
              <w:t>Fauna</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4A1499CB" w14:textId="77777777" w:rsidR="00353389" w:rsidRPr="007F1A33" w:rsidRDefault="00353389" w:rsidP="00113A12">
            <w:r w:rsidRPr="007F1A33">
              <w:t>Prerušenie migračných ciest</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135CE7DA"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6E374745"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9B6214B" w14:textId="77777777" w:rsidR="00353389" w:rsidRPr="003F33B0" w:rsidRDefault="00353389" w:rsidP="00113A12">
            <w:pPr>
              <w:jc w:val="center"/>
              <w:rPr>
                <w:highlight w:val="yellow"/>
              </w:rPr>
            </w:pPr>
          </w:p>
        </w:tc>
      </w:tr>
      <w:tr w:rsidR="00353389" w:rsidRPr="007F1A33" w14:paraId="40520060"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E0FC537" w14:textId="77777777" w:rsidR="00353389" w:rsidRPr="007F1A33" w:rsidRDefault="00353389" w:rsidP="00113A12"/>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0E0D9019" w14:textId="77777777" w:rsidR="00353389" w:rsidRPr="007F1A33" w:rsidRDefault="00353389" w:rsidP="00113A12">
            <w:r w:rsidRPr="007F1A33">
              <w:t>Vyrušovanie dotknutej fauny</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95DBCA4"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5C1AA3D6"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50C34CB" w14:textId="77777777" w:rsidR="00353389" w:rsidRPr="003F33B0" w:rsidRDefault="00353389" w:rsidP="00113A12">
            <w:pPr>
              <w:jc w:val="center"/>
              <w:rPr>
                <w:highlight w:val="yellow"/>
              </w:rPr>
            </w:pPr>
          </w:p>
        </w:tc>
      </w:tr>
      <w:tr w:rsidR="00353389" w:rsidRPr="007F1A33" w14:paraId="69FC2E71"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4E5384C" w14:textId="77777777" w:rsidR="00353389" w:rsidRPr="007F1A33" w:rsidRDefault="00353389" w:rsidP="00113A12"/>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08AD71C9" w14:textId="77777777" w:rsidR="00353389" w:rsidRPr="007F1A33" w:rsidRDefault="00353389" w:rsidP="00113A12">
            <w:r w:rsidRPr="007F1A33">
              <w:t>Kontaminácia biotopov</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0F2EC03"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0254E737"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E36DE55" w14:textId="77777777" w:rsidR="00353389" w:rsidRPr="003F33B0" w:rsidRDefault="00353389" w:rsidP="00113A12">
            <w:pPr>
              <w:jc w:val="center"/>
              <w:rPr>
                <w:highlight w:val="yellow"/>
              </w:rPr>
            </w:pPr>
          </w:p>
        </w:tc>
      </w:tr>
      <w:tr w:rsidR="00353389" w:rsidRPr="00B272D8" w14:paraId="3C1FA833" w14:textId="77777777" w:rsidTr="00113A12">
        <w:trPr>
          <w:trHeight w:val="305"/>
          <w:jc w:val="center"/>
        </w:trPr>
        <w:tc>
          <w:tcPr>
            <w:tcW w:w="2153" w:type="dxa"/>
            <w:vMerge/>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A8E8227" w14:textId="77777777" w:rsidR="00353389" w:rsidRPr="007F1A33" w:rsidRDefault="00353389" w:rsidP="00113A12"/>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1823CCEA" w14:textId="77777777" w:rsidR="00353389" w:rsidRPr="007F1A33" w:rsidRDefault="00353389" w:rsidP="00113A12">
            <w:r w:rsidRPr="007F1A33">
              <w:t>Znehodnotenie cenných biotopov</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078F012" w14:textId="77777777" w:rsidR="00353389" w:rsidRPr="003F33B0" w:rsidRDefault="00353389" w:rsidP="00113A12">
            <w:pPr>
              <w:jc w:val="center"/>
              <w:rPr>
                <w:highlight w:val="yellow"/>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2A9EABD2" w14:textId="77777777" w:rsidR="00353389" w:rsidRPr="00F70153" w:rsidRDefault="00353389" w:rsidP="00113A12">
            <w:pPr>
              <w:jc w:val="center"/>
            </w:pPr>
            <w:r w:rsidRPr="00F70153">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432637E" w14:textId="77777777" w:rsidR="00353389" w:rsidRPr="003F33B0" w:rsidRDefault="00353389" w:rsidP="00113A12">
            <w:pPr>
              <w:jc w:val="center"/>
              <w:rPr>
                <w:highlight w:val="yellow"/>
              </w:rPr>
            </w:pPr>
          </w:p>
        </w:tc>
      </w:tr>
      <w:tr w:rsidR="00353389" w:rsidRPr="00B272D8" w14:paraId="5F57B41B" w14:textId="77777777" w:rsidTr="00113A12">
        <w:trPr>
          <w:trHeight w:val="305"/>
          <w:jc w:val="center"/>
        </w:trPr>
        <w:tc>
          <w:tcPr>
            <w:tcW w:w="2153"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258474AF" w14:textId="77777777" w:rsidR="00353389" w:rsidRPr="007F1A33" w:rsidRDefault="00353389" w:rsidP="00113A12">
            <w:pPr>
              <w:jc w:val="center"/>
            </w:pPr>
            <w:r w:rsidRPr="00F70153">
              <w:rPr>
                <w:b/>
              </w:rPr>
              <w:lastRenderedPageBreak/>
              <w:t>Krajina a scenéria</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657D3457" w14:textId="77777777" w:rsidR="00353389" w:rsidRPr="007F1A33" w:rsidRDefault="00353389" w:rsidP="00113A12">
            <w:r>
              <w:t>Vplyv na krajinu a scenériu</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F4DD47C" w14:textId="77777777" w:rsidR="00353389" w:rsidRPr="003F33B0" w:rsidRDefault="00353389" w:rsidP="00113A12">
            <w:pPr>
              <w:jc w:val="center"/>
              <w:rPr>
                <w:highlight w:val="yellow"/>
              </w:rPr>
            </w:pPr>
            <w:r w:rsidRPr="00F70153">
              <w:t>-1</w:t>
            </w: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37DD5B96"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420F485B" w14:textId="77777777" w:rsidR="00353389" w:rsidRPr="003F33B0" w:rsidRDefault="00353389" w:rsidP="00113A12">
            <w:pPr>
              <w:jc w:val="center"/>
              <w:rPr>
                <w:highlight w:val="yellow"/>
              </w:rPr>
            </w:pPr>
          </w:p>
        </w:tc>
      </w:tr>
      <w:tr w:rsidR="00353389" w:rsidRPr="00B272D8" w14:paraId="3E5521CE" w14:textId="77777777" w:rsidTr="00113A12">
        <w:trPr>
          <w:trHeight w:val="305"/>
          <w:jc w:val="center"/>
        </w:trPr>
        <w:tc>
          <w:tcPr>
            <w:tcW w:w="2153" w:type="dxa"/>
            <w:vMerge w:val="restart"/>
            <w:tcBorders>
              <w:top w:val="single" w:sz="4" w:space="0" w:color="00000A"/>
              <w:left w:val="single" w:sz="4" w:space="0" w:color="00000A"/>
              <w:right w:val="single" w:sz="4" w:space="0" w:color="00000A"/>
            </w:tcBorders>
            <w:shd w:val="clear" w:color="auto" w:fill="FFFFFF"/>
            <w:tcMar>
              <w:left w:w="30" w:type="dxa"/>
            </w:tcMar>
            <w:vAlign w:val="center"/>
          </w:tcPr>
          <w:p w14:paraId="42A562F9" w14:textId="77777777" w:rsidR="00353389" w:rsidRPr="00F70153" w:rsidRDefault="00353389" w:rsidP="00113A12">
            <w:pPr>
              <w:jc w:val="center"/>
              <w:rPr>
                <w:b/>
              </w:rPr>
            </w:pPr>
            <w:r>
              <w:rPr>
                <w:b/>
              </w:rPr>
              <w:t>Obyvateľstvo</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5DD2CB43" w14:textId="77777777" w:rsidR="00353389" w:rsidRDefault="00353389" w:rsidP="00113A12">
            <w:r>
              <w:t>Nárast hluku</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7ACCBD40" w14:textId="77777777" w:rsidR="00353389" w:rsidRPr="00F70153" w:rsidRDefault="00353389" w:rsidP="00113A12">
            <w:pPr>
              <w:jc w:val="center"/>
            </w:pPr>
            <w:r>
              <w:t>-1</w:t>
            </w: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1B854061"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2039417" w14:textId="77777777" w:rsidR="00353389" w:rsidRPr="003F33B0" w:rsidRDefault="00353389" w:rsidP="00113A12">
            <w:pPr>
              <w:jc w:val="center"/>
              <w:rPr>
                <w:highlight w:val="yellow"/>
              </w:rPr>
            </w:pPr>
          </w:p>
        </w:tc>
      </w:tr>
      <w:tr w:rsidR="00353389" w:rsidRPr="00B272D8" w14:paraId="1D50A16E"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62FEA171" w14:textId="77777777" w:rsidR="00353389"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5D846270" w14:textId="77777777" w:rsidR="00353389" w:rsidRDefault="00353389" w:rsidP="00113A12">
            <w:r>
              <w:t>Navýšenie intenzity dopravy</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AC13C3A" w14:textId="77777777" w:rsidR="00353389" w:rsidRPr="00F70153" w:rsidRDefault="00353389" w:rsidP="00113A12">
            <w:pPr>
              <w:jc w:val="center"/>
            </w:pPr>
            <w:r>
              <w:t>-1</w:t>
            </w: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2230593C"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3DC164F" w14:textId="77777777" w:rsidR="00353389" w:rsidRPr="003F33B0" w:rsidRDefault="00353389" w:rsidP="00113A12">
            <w:pPr>
              <w:jc w:val="center"/>
              <w:rPr>
                <w:highlight w:val="yellow"/>
              </w:rPr>
            </w:pPr>
          </w:p>
        </w:tc>
      </w:tr>
      <w:tr w:rsidR="00353389" w:rsidRPr="00B272D8" w14:paraId="074D4296" w14:textId="77777777" w:rsidTr="00113A12">
        <w:trPr>
          <w:trHeight w:val="305"/>
          <w:jc w:val="center"/>
        </w:trPr>
        <w:tc>
          <w:tcPr>
            <w:tcW w:w="2153" w:type="dxa"/>
            <w:vMerge/>
            <w:tcBorders>
              <w:left w:val="single" w:sz="4" w:space="0" w:color="00000A"/>
              <w:right w:val="single" w:sz="4" w:space="0" w:color="00000A"/>
            </w:tcBorders>
            <w:shd w:val="clear" w:color="auto" w:fill="FFFFFF"/>
            <w:tcMar>
              <w:left w:w="30" w:type="dxa"/>
            </w:tcMar>
            <w:vAlign w:val="center"/>
          </w:tcPr>
          <w:p w14:paraId="394DAC70" w14:textId="77777777" w:rsidR="00353389"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73DD165B" w14:textId="77777777" w:rsidR="00353389" w:rsidRDefault="00353389" w:rsidP="00113A12">
            <w:r>
              <w:t>Emisie z dopravy a výroby</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03AFA0D1" w14:textId="77777777" w:rsidR="00353389" w:rsidRPr="00F70153" w:rsidRDefault="00353389" w:rsidP="00113A12">
            <w:pPr>
              <w:jc w:val="center"/>
            </w:pPr>
            <w:r>
              <w:t>-1</w:t>
            </w: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03B919DE" w14:textId="77777777" w:rsidR="00353389" w:rsidRPr="00F70153" w:rsidRDefault="00353389" w:rsidP="00113A12">
            <w:pPr>
              <w:jc w:val="center"/>
            </w:pP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6F220601" w14:textId="77777777" w:rsidR="00353389" w:rsidRPr="003F33B0" w:rsidRDefault="00353389" w:rsidP="00113A12">
            <w:pPr>
              <w:jc w:val="center"/>
              <w:rPr>
                <w:highlight w:val="yellow"/>
              </w:rPr>
            </w:pPr>
          </w:p>
        </w:tc>
      </w:tr>
      <w:tr w:rsidR="00353389" w:rsidRPr="00B272D8" w14:paraId="175D3852" w14:textId="77777777" w:rsidTr="00113A12">
        <w:trPr>
          <w:trHeight w:val="305"/>
          <w:jc w:val="center"/>
        </w:trPr>
        <w:tc>
          <w:tcPr>
            <w:tcW w:w="2153" w:type="dxa"/>
            <w:vMerge/>
            <w:tcBorders>
              <w:left w:val="single" w:sz="4" w:space="0" w:color="00000A"/>
              <w:bottom w:val="single" w:sz="4" w:space="0" w:color="00000A"/>
              <w:right w:val="single" w:sz="4" w:space="0" w:color="00000A"/>
            </w:tcBorders>
            <w:shd w:val="clear" w:color="auto" w:fill="FFFFFF"/>
            <w:tcMar>
              <w:left w:w="30" w:type="dxa"/>
            </w:tcMar>
            <w:vAlign w:val="center"/>
          </w:tcPr>
          <w:p w14:paraId="3A002F76" w14:textId="77777777" w:rsidR="00353389" w:rsidRDefault="00353389" w:rsidP="00113A12">
            <w:pPr>
              <w:jc w:val="center"/>
              <w:rPr>
                <w:b/>
              </w:rPr>
            </w:pP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14:paraId="342999D6" w14:textId="77777777" w:rsidR="00353389" w:rsidRDefault="00353389" w:rsidP="00113A12">
            <w:r>
              <w:t>Tvorba odpadov</w:t>
            </w:r>
          </w:p>
        </w:tc>
        <w:tc>
          <w:tcPr>
            <w:tcW w:w="728"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3AFF63A9" w14:textId="77777777" w:rsidR="00353389" w:rsidRPr="00F70153" w:rsidRDefault="00353389" w:rsidP="00113A12">
            <w:pPr>
              <w:jc w:val="center"/>
            </w:pPr>
          </w:p>
        </w:tc>
        <w:tc>
          <w:tcPr>
            <w:tcW w:w="72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14:paraId="729F17B8" w14:textId="77777777" w:rsidR="00353389" w:rsidRPr="00F70153" w:rsidRDefault="00353389" w:rsidP="00113A12">
            <w:pPr>
              <w:jc w:val="center"/>
            </w:pPr>
            <w:r>
              <w:t>0</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14:paraId="5C5DD911" w14:textId="77777777" w:rsidR="00353389" w:rsidRPr="003F33B0" w:rsidRDefault="00353389" w:rsidP="00113A12">
            <w:pPr>
              <w:jc w:val="center"/>
              <w:rPr>
                <w:highlight w:val="yellow"/>
              </w:rPr>
            </w:pPr>
          </w:p>
        </w:tc>
      </w:tr>
    </w:tbl>
    <w:p w14:paraId="6E465EC7" w14:textId="77777777" w:rsidR="00353389" w:rsidRPr="00B272D8" w:rsidRDefault="00353389" w:rsidP="00353389">
      <w:pPr>
        <w:rPr>
          <w:b/>
          <w:highlight w:val="yellow"/>
          <w:u w:val="single"/>
        </w:rPr>
      </w:pPr>
    </w:p>
    <w:p w14:paraId="2F02682A" w14:textId="41565647" w:rsidR="00353389" w:rsidRPr="00646379" w:rsidRDefault="00717278">
      <w:pPr>
        <w:rPr>
          <w:highlight w:val="yellow"/>
        </w:rPr>
      </w:pPr>
      <w:r w:rsidRPr="00646379">
        <w:rPr>
          <w:highlight w:val="yellow"/>
        </w:rPr>
        <w:br w:type="page"/>
      </w:r>
    </w:p>
    <w:p w14:paraId="2CDAE5F5" w14:textId="77777777" w:rsidR="00717278" w:rsidRPr="005553D7" w:rsidRDefault="00717278" w:rsidP="00A830C1">
      <w:pPr>
        <w:pStyle w:val="Nadpis1"/>
        <w:numPr>
          <w:ilvl w:val="0"/>
          <w:numId w:val="8"/>
        </w:numPr>
        <w:rPr>
          <w:i w:val="0"/>
        </w:rPr>
      </w:pPr>
      <w:bookmarkStart w:id="52" w:name="_Toc355683320"/>
      <w:bookmarkStart w:id="53" w:name="_Toc360716120"/>
      <w:bookmarkStart w:id="54" w:name="_Toc31615211"/>
      <w:r w:rsidRPr="005553D7">
        <w:rPr>
          <w:i w:val="0"/>
        </w:rPr>
        <w:lastRenderedPageBreak/>
        <w:t>V</w:t>
      </w:r>
      <w:bookmarkEnd w:id="52"/>
      <w:r w:rsidRPr="005553D7">
        <w:rPr>
          <w:i w:val="0"/>
        </w:rPr>
        <w:t>ŠEOBECNE ZROZUMITEĽNÉ ZÁVEREČNÉ ZHRNUTIE</w:t>
      </w:r>
      <w:bookmarkEnd w:id="53"/>
      <w:bookmarkEnd w:id="54"/>
    </w:p>
    <w:p w14:paraId="64B4BACC" w14:textId="1CCCB0C0" w:rsidR="008A1FC2" w:rsidRPr="00384306" w:rsidRDefault="00C6185B" w:rsidP="008A1FC2">
      <w:pPr>
        <w:rPr>
          <w:color w:val="000000" w:themeColor="text1"/>
        </w:rPr>
      </w:pPr>
      <w:r>
        <w:rPr>
          <w:color w:val="000000" w:themeColor="text1"/>
        </w:rPr>
        <w:tab/>
      </w:r>
      <w:r w:rsidR="008A1FC2" w:rsidRPr="00384306">
        <w:rPr>
          <w:color w:val="000000" w:themeColor="text1"/>
        </w:rPr>
        <w:t xml:space="preserve">Tento dokument je oznámením o zmene navrhovanej činnosti ako prvostupňová dokumentácia pre zisťovacie konanie podľa zákona č. 24/2006 o posudzovaní vplyvov na životné prostredie. Činnosťou, ktorej sa týka zmena je </w:t>
      </w:r>
      <w:r w:rsidR="00384306" w:rsidRPr="00384306">
        <w:rPr>
          <w:color w:val="000000" w:themeColor="text1"/>
        </w:rPr>
        <w:t xml:space="preserve">rozšírenie výrobných priestorov spoločnosti </w:t>
      </w:r>
      <w:proofErr w:type="spellStart"/>
      <w:r w:rsidR="00384306" w:rsidRPr="00384306">
        <w:rPr>
          <w:color w:val="000000" w:themeColor="text1"/>
        </w:rPr>
        <w:t>Tristone</w:t>
      </w:r>
      <w:proofErr w:type="spellEnd"/>
      <w:r w:rsidR="00384306" w:rsidRPr="00384306">
        <w:rPr>
          <w:color w:val="000000" w:themeColor="text1"/>
        </w:rPr>
        <w:t xml:space="preserve"> </w:t>
      </w:r>
      <w:proofErr w:type="spellStart"/>
      <w:r w:rsidR="00384306" w:rsidRPr="00384306">
        <w:rPr>
          <w:color w:val="000000" w:themeColor="text1"/>
        </w:rPr>
        <w:t>Flowtech</w:t>
      </w:r>
      <w:proofErr w:type="spellEnd"/>
      <w:r w:rsidR="00384306" w:rsidRPr="00384306">
        <w:rPr>
          <w:color w:val="000000" w:themeColor="text1"/>
        </w:rPr>
        <w:t>.</w:t>
      </w:r>
    </w:p>
    <w:p w14:paraId="046F194D" w14:textId="24BA19A8" w:rsidR="008A1FC2" w:rsidRPr="00384306" w:rsidRDefault="00384306" w:rsidP="008A1FC2">
      <w:pPr>
        <w:rPr>
          <w:color w:val="000000" w:themeColor="text1"/>
        </w:rPr>
      </w:pPr>
      <w:r w:rsidRPr="00384306">
        <w:rPr>
          <w:color w:val="000000" w:themeColor="text1"/>
        </w:rPr>
        <w:t xml:space="preserve">Zmena spočíva v prístavbe novej výrobnej haly v ktorej budú umiestnené výrobné zariadenia spoločnosti </w:t>
      </w:r>
      <w:proofErr w:type="spellStart"/>
      <w:r w:rsidRPr="00384306">
        <w:rPr>
          <w:color w:val="000000" w:themeColor="text1"/>
        </w:rPr>
        <w:t>Tristone</w:t>
      </w:r>
      <w:proofErr w:type="spellEnd"/>
      <w:r w:rsidRPr="00384306">
        <w:rPr>
          <w:color w:val="000000" w:themeColor="text1"/>
        </w:rPr>
        <w:t>, charakter výroby sa meniť nebude, dôjde len k rozšíreniu existujúcej výroby</w:t>
      </w:r>
      <w:r w:rsidR="00C6185B">
        <w:rPr>
          <w:color w:val="000000" w:themeColor="text1"/>
        </w:rPr>
        <w:t xml:space="preserve">, </w:t>
      </w:r>
      <w:r w:rsidRPr="00384306">
        <w:rPr>
          <w:color w:val="000000" w:themeColor="text1"/>
        </w:rPr>
        <w:t>skladovania</w:t>
      </w:r>
      <w:r w:rsidR="00C6185B">
        <w:rPr>
          <w:color w:val="000000" w:themeColor="text1"/>
        </w:rPr>
        <w:t xml:space="preserve"> a parkovacích kapacít.</w:t>
      </w:r>
    </w:p>
    <w:p w14:paraId="3EC5DDE4" w14:textId="77777777" w:rsidR="00384306" w:rsidRPr="00384306" w:rsidRDefault="008A1FC2" w:rsidP="00384306">
      <w:pPr>
        <w:autoSpaceDE w:val="0"/>
        <w:autoSpaceDN w:val="0"/>
        <w:adjustRightInd w:val="0"/>
      </w:pPr>
      <w:r w:rsidRPr="00384306">
        <w:t xml:space="preserve">Zmena navrhovanej činnosti má z hľadiska zákona č. 24/2006 Z.z. o posudzovaní vplyvov na životné prostredie podľa prílohy č. 8 tohto zákona zaradenie </w:t>
      </w:r>
      <w:r w:rsidR="00384306" w:rsidRPr="00384306">
        <w:t>nasledujúcim spôsobom:</w:t>
      </w:r>
    </w:p>
    <w:p w14:paraId="34FD7A50" w14:textId="77777777" w:rsidR="00384306" w:rsidRPr="00384306" w:rsidRDefault="00384306" w:rsidP="00384306">
      <w:pPr>
        <w:autoSpaceDE w:val="0"/>
        <w:autoSpaceDN w:val="0"/>
        <w:adjustRightInd w:val="0"/>
      </w:pPr>
    </w:p>
    <w:p w14:paraId="690F1834" w14:textId="47DE44AD" w:rsidR="00384306" w:rsidRPr="00384306" w:rsidRDefault="008A1FC2" w:rsidP="00384306">
      <w:pPr>
        <w:autoSpaceDE w:val="0"/>
        <w:autoSpaceDN w:val="0"/>
        <w:adjustRightInd w:val="0"/>
      </w:pPr>
      <w:r w:rsidRPr="00384306">
        <w:t xml:space="preserve"> </w:t>
      </w:r>
      <w:r w:rsidR="00384306" w:rsidRPr="00384306">
        <w:rPr>
          <w:b/>
          <w:i/>
        </w:rPr>
        <w:t>Tabuľka č. 8: „Ostatné priemyselné odvetvia“</w:t>
      </w:r>
    </w:p>
    <w:p w14:paraId="032060B4" w14:textId="77777777" w:rsidR="00384306" w:rsidRPr="00384306" w:rsidRDefault="00384306" w:rsidP="00384306">
      <w:pPr>
        <w:numPr>
          <w:ilvl w:val="0"/>
          <w:numId w:val="19"/>
        </w:numPr>
        <w:autoSpaceDE w:val="0"/>
        <w:autoSpaceDN w:val="0"/>
        <w:adjustRightInd w:val="0"/>
        <w:rPr>
          <w:i/>
          <w:szCs w:val="20"/>
          <w:lang w:eastAsia="en-US"/>
        </w:rPr>
      </w:pPr>
      <w:r w:rsidRPr="00384306">
        <w:rPr>
          <w:b/>
          <w:i/>
        </w:rPr>
        <w:t>Položka č. 10</w:t>
      </w:r>
      <w:r w:rsidRPr="00384306">
        <w:rPr>
          <w:szCs w:val="20"/>
          <w:lang w:eastAsia="en-US"/>
        </w:rPr>
        <w:tab/>
        <w:t>- Ostatné priemyselné zariadenia neuvedené v položkách č. 1 - 9 s výrobnou plochou</w:t>
      </w:r>
    </w:p>
    <w:p w14:paraId="0C2A9CC1" w14:textId="77777777" w:rsidR="00384306" w:rsidRPr="00384306" w:rsidRDefault="00384306" w:rsidP="00384306">
      <w:pPr>
        <w:autoSpaceDE w:val="0"/>
        <w:autoSpaceDN w:val="0"/>
        <w:adjustRightInd w:val="0"/>
        <w:ind w:left="1080"/>
        <w:rPr>
          <w:i/>
          <w:szCs w:val="20"/>
          <w:lang w:eastAsia="en-US"/>
        </w:rPr>
      </w:pPr>
    </w:p>
    <w:p w14:paraId="59CC56E7" w14:textId="4F54BBC9" w:rsidR="00384306" w:rsidRPr="00646379" w:rsidRDefault="00384306" w:rsidP="00384306">
      <w:pPr>
        <w:autoSpaceDE w:val="0"/>
        <w:autoSpaceDN w:val="0"/>
        <w:adjustRightInd w:val="0"/>
        <w:rPr>
          <w:szCs w:val="20"/>
          <w:lang w:eastAsia="en-US"/>
        </w:rPr>
      </w:pPr>
      <w:r w:rsidRPr="00384306">
        <w:rPr>
          <w:szCs w:val="20"/>
          <w:lang w:eastAsia="en-US"/>
        </w:rPr>
        <w:tab/>
        <w:t>Zisťovacie konanie prebieha pri tomto zaradení prevádzky od 1000 m</w:t>
      </w:r>
      <w:r w:rsidRPr="00384306">
        <w:rPr>
          <w:szCs w:val="20"/>
          <w:vertAlign w:val="superscript"/>
          <w:lang w:eastAsia="en-US"/>
        </w:rPr>
        <w:t>2</w:t>
      </w:r>
      <w:r w:rsidRPr="00384306">
        <w:rPr>
          <w:szCs w:val="20"/>
          <w:lang w:eastAsia="en-US"/>
        </w:rPr>
        <w:t xml:space="preserve"> výrobnej plochy. Vzhľadom na to že projektovaná výrobná plocha navrhovaného zariadenia je 2077 m</w:t>
      </w:r>
      <w:r w:rsidRPr="00384306">
        <w:rPr>
          <w:szCs w:val="20"/>
          <w:vertAlign w:val="superscript"/>
          <w:lang w:eastAsia="en-US"/>
        </w:rPr>
        <w:t>2</w:t>
      </w:r>
      <w:r w:rsidRPr="00384306">
        <w:rPr>
          <w:szCs w:val="20"/>
          <w:lang w:eastAsia="en-US"/>
        </w:rPr>
        <w:t xml:space="preserve"> a realizovaná bude tiež prístavba skladu vstupného materiálu (1030 m</w:t>
      </w:r>
      <w:r w:rsidRPr="00384306">
        <w:rPr>
          <w:szCs w:val="20"/>
          <w:vertAlign w:val="superscript"/>
          <w:lang w:eastAsia="en-US"/>
        </w:rPr>
        <w:t>2</w:t>
      </w:r>
      <w:r w:rsidRPr="00384306">
        <w:rPr>
          <w:szCs w:val="20"/>
          <w:lang w:eastAsia="en-US"/>
        </w:rPr>
        <w:t>) a vrátnice (15 m</w:t>
      </w:r>
      <w:r w:rsidRPr="00384306">
        <w:rPr>
          <w:szCs w:val="20"/>
          <w:vertAlign w:val="superscript"/>
          <w:lang w:eastAsia="en-US"/>
        </w:rPr>
        <w:t>2</w:t>
      </w:r>
      <w:r w:rsidRPr="00384306">
        <w:rPr>
          <w:szCs w:val="20"/>
          <w:lang w:eastAsia="en-US"/>
        </w:rPr>
        <w:t>), máme za to že činnosť podlieha zisťovaciemu konaniu. Vybudovaných bude taktiež 96 nových parkovacích miest určených pre zamestnancov prevádzky.</w:t>
      </w:r>
      <w:r w:rsidR="00C6185B">
        <w:rPr>
          <w:szCs w:val="20"/>
          <w:lang w:eastAsia="en-US"/>
        </w:rPr>
        <w:t xml:space="preserve"> Tieto parkovacie miesta nahradia existujúce parkovacie kapacity prevádzky.</w:t>
      </w:r>
    </w:p>
    <w:p w14:paraId="61A37151" w14:textId="1F7552E8" w:rsidR="00AC05B5" w:rsidRPr="00646379" w:rsidRDefault="00AC05B5" w:rsidP="00384306">
      <w:pPr>
        <w:autoSpaceDE w:val="0"/>
        <w:autoSpaceDN w:val="0"/>
        <w:adjustRightInd w:val="0"/>
        <w:rPr>
          <w:szCs w:val="20"/>
          <w:lang w:eastAsia="en-US"/>
        </w:rPr>
      </w:pPr>
    </w:p>
    <w:p w14:paraId="7574D99B" w14:textId="3D8FCD07" w:rsidR="005D3ADF" w:rsidRPr="00262ECA" w:rsidRDefault="005D3ADF" w:rsidP="005D3ADF">
      <w:pPr>
        <w:rPr>
          <w:b/>
          <w:bCs/>
          <w:i/>
          <w:iCs/>
          <w:u w:val="single"/>
        </w:rPr>
      </w:pPr>
      <w:r w:rsidRPr="00262ECA">
        <w:rPr>
          <w:b/>
          <w:bCs/>
          <w:i/>
          <w:iCs/>
          <w:u w:val="single"/>
        </w:rPr>
        <w:t>Požiadavky na vstupy</w:t>
      </w:r>
    </w:p>
    <w:p w14:paraId="50B9659A" w14:textId="77777777" w:rsidR="005D3ADF" w:rsidRDefault="005D3ADF" w:rsidP="005D3ADF"/>
    <w:p w14:paraId="1ECCF836" w14:textId="77777777" w:rsidR="005D3ADF" w:rsidRPr="00262ECA" w:rsidRDefault="005D3ADF" w:rsidP="005D3ADF">
      <w:pPr>
        <w:rPr>
          <w:i/>
          <w:iCs/>
        </w:rPr>
      </w:pPr>
      <w:r w:rsidRPr="00262ECA">
        <w:rPr>
          <w:i/>
          <w:iCs/>
        </w:rPr>
        <w:t>Záber pôdy</w:t>
      </w:r>
    </w:p>
    <w:p w14:paraId="385AEE7C" w14:textId="25B6D41C" w:rsidR="005D3ADF" w:rsidRDefault="005D3ADF" w:rsidP="005D3ADF">
      <w:r>
        <w:tab/>
        <w:t>Navrhovaná činnosť bude realizovaná na parcelách s </w:t>
      </w:r>
      <w:proofErr w:type="spellStart"/>
      <w:r>
        <w:t>p.č</w:t>
      </w:r>
      <w:proofErr w:type="spellEnd"/>
      <w:r>
        <w:t>. 4837/1, 4837/8, 4837/9, 4837/10 a 4837/33 v </w:t>
      </w:r>
      <w:proofErr w:type="spellStart"/>
      <w:r>
        <w:t>k.ú</w:t>
      </w:r>
      <w:proofErr w:type="spellEnd"/>
      <w:r>
        <w:t>. Nová Baňa. Jej realizáciou dôjde k celkovému záberu pôdy v rozsahu 2077 m</w:t>
      </w:r>
      <w:r w:rsidRPr="00E53060">
        <w:rPr>
          <w:vertAlign w:val="superscript"/>
        </w:rPr>
        <w:t>2</w:t>
      </w:r>
      <w:r>
        <w:t xml:space="preserve"> ktorý bude realizovaný vybudovaním prístavku k výrobnej hale. Vybudovaných bude taktiež 96 nových parkovacích miest.</w:t>
      </w:r>
    </w:p>
    <w:p w14:paraId="71F4018C" w14:textId="77777777" w:rsidR="00262ECA" w:rsidRDefault="00262ECA" w:rsidP="005D3ADF"/>
    <w:p w14:paraId="137BCDBC" w14:textId="77777777" w:rsidR="005D3ADF" w:rsidRPr="00262ECA" w:rsidRDefault="005D3ADF" w:rsidP="005D3ADF">
      <w:pPr>
        <w:rPr>
          <w:i/>
          <w:iCs/>
        </w:rPr>
      </w:pPr>
      <w:r w:rsidRPr="00262ECA">
        <w:rPr>
          <w:i/>
          <w:iCs/>
        </w:rPr>
        <w:t>Záber poľnohospodárskych a lesných pozemkov</w:t>
      </w:r>
    </w:p>
    <w:p w14:paraId="0F90721A" w14:textId="38EC4DB9" w:rsidR="005D3ADF" w:rsidRDefault="005D3ADF" w:rsidP="005D3ADF">
      <w:r>
        <w:t>Realizáciou navrhovanej činnosti nedôjde k záberu poľnohospodárskych a lesných pozemkov.</w:t>
      </w:r>
    </w:p>
    <w:p w14:paraId="5C6E8168" w14:textId="77777777" w:rsidR="00262ECA" w:rsidRDefault="00262ECA" w:rsidP="005D3ADF"/>
    <w:p w14:paraId="337609E4" w14:textId="77777777" w:rsidR="005D3ADF" w:rsidRPr="00262ECA" w:rsidRDefault="005D3ADF" w:rsidP="005D3ADF">
      <w:pPr>
        <w:rPr>
          <w:i/>
          <w:iCs/>
        </w:rPr>
      </w:pPr>
      <w:r w:rsidRPr="00262ECA">
        <w:rPr>
          <w:i/>
          <w:iCs/>
        </w:rPr>
        <w:t>Nároky na zastavané územie</w:t>
      </w:r>
    </w:p>
    <w:p w14:paraId="52663D61" w14:textId="16674C66" w:rsidR="005D3ADF" w:rsidRDefault="005D3ADF" w:rsidP="005D3ADF">
      <w:r>
        <w:t>Realizáciou navrhovanej činnosti bude čiastočne asanovaný existujúci objekt ktorý je vo vlastníctve investora. Ďalšie nároky na zastavané územie projekt nekladie.</w:t>
      </w:r>
    </w:p>
    <w:p w14:paraId="13EAA1D3" w14:textId="77777777" w:rsidR="00262ECA" w:rsidRDefault="00262ECA" w:rsidP="005D3ADF"/>
    <w:p w14:paraId="374D8C01" w14:textId="77777777" w:rsidR="005D3ADF" w:rsidRPr="00262ECA" w:rsidRDefault="005D3ADF" w:rsidP="005D3ADF">
      <w:pPr>
        <w:rPr>
          <w:i/>
          <w:iCs/>
        </w:rPr>
      </w:pPr>
      <w:r w:rsidRPr="00262ECA">
        <w:rPr>
          <w:i/>
          <w:iCs/>
        </w:rPr>
        <w:t>Nároky na pracovné sily</w:t>
      </w:r>
    </w:p>
    <w:p w14:paraId="3500CD11" w14:textId="2B4EDB0B" w:rsidR="005D3ADF" w:rsidRDefault="005D3ADF" w:rsidP="005D3ADF">
      <w:r>
        <w:t>Realizáciou navrhovanej činnosti vznikne 175 nových pracovných miest vo výrobnej a nevýrobnej časti prevádzky.</w:t>
      </w:r>
    </w:p>
    <w:p w14:paraId="0B36021A" w14:textId="77777777" w:rsidR="00262ECA" w:rsidRDefault="00262ECA" w:rsidP="005D3ADF"/>
    <w:p w14:paraId="7AC7E2AF" w14:textId="77777777" w:rsidR="005D3ADF" w:rsidRPr="00262ECA" w:rsidRDefault="005D3ADF" w:rsidP="005D3ADF">
      <w:pPr>
        <w:rPr>
          <w:i/>
          <w:iCs/>
        </w:rPr>
      </w:pPr>
      <w:r w:rsidRPr="00262ECA">
        <w:rPr>
          <w:i/>
          <w:iCs/>
        </w:rPr>
        <w:t>Spotreba vody</w:t>
      </w:r>
    </w:p>
    <w:p w14:paraId="615047C9" w14:textId="31FB4F67" w:rsidR="005D3ADF" w:rsidRDefault="005D3ADF" w:rsidP="005D3ADF">
      <w:r>
        <w:t>V dôsledku realizácie navrhovanej činnosti dôjde k navýšeniu spotreby vody na sociálne a hygienické účely o približne 4888 m</w:t>
      </w:r>
      <w:r w:rsidRPr="00E53060">
        <w:rPr>
          <w:vertAlign w:val="superscript"/>
        </w:rPr>
        <w:t>3</w:t>
      </w:r>
      <w:r>
        <w:t>.</w:t>
      </w:r>
    </w:p>
    <w:p w14:paraId="1121DF7D" w14:textId="38940776" w:rsidR="00262ECA" w:rsidRDefault="00262ECA" w:rsidP="005D3ADF"/>
    <w:p w14:paraId="21EF0971" w14:textId="6A4A0A24" w:rsidR="00E02A01" w:rsidRDefault="00E02A01" w:rsidP="005D3ADF"/>
    <w:p w14:paraId="3573FBF8" w14:textId="77777777" w:rsidR="00E02A01" w:rsidRDefault="00E02A01" w:rsidP="005D3ADF"/>
    <w:p w14:paraId="5FDEDFBB" w14:textId="77777777" w:rsidR="005D3ADF" w:rsidRPr="00262ECA" w:rsidRDefault="005D3ADF" w:rsidP="005D3ADF">
      <w:pPr>
        <w:rPr>
          <w:i/>
          <w:iCs/>
        </w:rPr>
      </w:pPr>
      <w:r w:rsidRPr="00262ECA">
        <w:rPr>
          <w:i/>
          <w:iCs/>
        </w:rPr>
        <w:lastRenderedPageBreak/>
        <w:t>Spotreba elektrickej energie</w:t>
      </w:r>
    </w:p>
    <w:p w14:paraId="0439F07D" w14:textId="5B87734F" w:rsidR="005D3ADF" w:rsidRDefault="005D3ADF" w:rsidP="005D3ADF">
      <w:r>
        <w:t>Realizáciou navrhovanej zmeny dôjde k navýšeniu spotreby elektrickej energie na približne dvojnásobok.</w:t>
      </w:r>
    </w:p>
    <w:p w14:paraId="765F80AD" w14:textId="77777777" w:rsidR="00262ECA" w:rsidRDefault="00262ECA" w:rsidP="005D3ADF"/>
    <w:p w14:paraId="3DCB9FEF" w14:textId="77777777" w:rsidR="005D3ADF" w:rsidRPr="00262ECA" w:rsidRDefault="005D3ADF" w:rsidP="005D3ADF">
      <w:pPr>
        <w:rPr>
          <w:i/>
          <w:iCs/>
        </w:rPr>
      </w:pPr>
      <w:r w:rsidRPr="00262ECA">
        <w:rPr>
          <w:i/>
          <w:iCs/>
        </w:rPr>
        <w:t>Zemný plyn</w:t>
      </w:r>
    </w:p>
    <w:p w14:paraId="47C37A53" w14:textId="48D86B07" w:rsidR="005D3ADF" w:rsidRDefault="005D3ADF" w:rsidP="005D3ADF">
      <w:r>
        <w:t>Zemný plyn bude v prevádzke využívaný na vykurovanie objektov. Existujúce vykurovacie zariadenia budú doplnené o plynové žiariče v novovybudovanom prístavku výrobnej haly. Celkové navýšenie spotreby zemného plynu v dôsledku realizácie navrhovanej zmeny nie je možné v súčasnosti vyčísliť, pretože technologické parametre vykurovacích žiaričov v súčasnosti nie sú známe.</w:t>
      </w:r>
    </w:p>
    <w:p w14:paraId="318EC0E3" w14:textId="77777777" w:rsidR="00262ECA" w:rsidRDefault="00262ECA" w:rsidP="005D3ADF"/>
    <w:p w14:paraId="3138AE93" w14:textId="77777777" w:rsidR="005D3ADF" w:rsidRPr="00262ECA" w:rsidRDefault="005D3ADF" w:rsidP="005D3ADF">
      <w:pPr>
        <w:rPr>
          <w:i/>
          <w:iCs/>
        </w:rPr>
      </w:pPr>
      <w:r w:rsidRPr="00262ECA">
        <w:rPr>
          <w:i/>
          <w:iCs/>
        </w:rPr>
        <w:t>Materiálové vstupy</w:t>
      </w:r>
    </w:p>
    <w:p w14:paraId="668E10DF" w14:textId="4C8A9A08" w:rsidR="005D3ADF" w:rsidRDefault="005D3ADF" w:rsidP="005D3ADF">
      <w:r>
        <w:t xml:space="preserve">Realizácia navrhovanej činnosti bude predstavovať navýšenie spotreby vstupných surovín o 2100 ton ročne. V prevádzke bude tiež dochádzať k spotrebe pomocných materiálov a surovín v celkovom množstve  7,52 ton ročne. </w:t>
      </w:r>
    </w:p>
    <w:p w14:paraId="7C440F60" w14:textId="77777777" w:rsidR="00262ECA" w:rsidRDefault="00262ECA" w:rsidP="005D3ADF"/>
    <w:p w14:paraId="732A222F" w14:textId="77777777" w:rsidR="005D3ADF" w:rsidRPr="00262ECA" w:rsidRDefault="005D3ADF" w:rsidP="005D3ADF">
      <w:pPr>
        <w:rPr>
          <w:i/>
          <w:iCs/>
        </w:rPr>
      </w:pPr>
      <w:r w:rsidRPr="00262ECA">
        <w:rPr>
          <w:i/>
          <w:iCs/>
        </w:rPr>
        <w:t>Doprava</w:t>
      </w:r>
    </w:p>
    <w:p w14:paraId="326E69D9" w14:textId="5A0EDA59" w:rsidR="005D3ADF" w:rsidRDefault="005D3ADF" w:rsidP="005D3ADF">
      <w:r>
        <w:t>Realizácia navrhovanej zmeny spôsobí navýšenie intenzity nákladnej dopravy o približne 22 prejazdov nákladných automobilov denne a v najnepriaznivejšom variante o 350 prejazdov osobných automobilov denne. Realizáciou navrhovanej zmeny taktiež dôjde k vybudovaniu 96 parkovacích miest.</w:t>
      </w:r>
    </w:p>
    <w:p w14:paraId="06DB6792" w14:textId="77777777" w:rsidR="00262ECA" w:rsidRDefault="00262ECA" w:rsidP="005D3ADF"/>
    <w:p w14:paraId="50DF7E93" w14:textId="77777777" w:rsidR="005D3ADF" w:rsidRPr="00262ECA" w:rsidRDefault="005D3ADF" w:rsidP="005D3ADF">
      <w:pPr>
        <w:rPr>
          <w:i/>
          <w:iCs/>
        </w:rPr>
      </w:pPr>
      <w:r w:rsidRPr="00262ECA">
        <w:rPr>
          <w:i/>
          <w:iCs/>
        </w:rPr>
        <w:t>Výrub drevín</w:t>
      </w:r>
    </w:p>
    <w:p w14:paraId="2907B7F4" w14:textId="77777777" w:rsidR="005D3ADF" w:rsidRDefault="005D3ADF" w:rsidP="005D3ADF">
      <w:r>
        <w:t>Realizácia navrhovanej zmeny nebude vyžadovať výrub drevín.</w:t>
      </w:r>
    </w:p>
    <w:p w14:paraId="70A16738" w14:textId="77777777" w:rsidR="007F1C50" w:rsidRDefault="007F1C50" w:rsidP="007F1C50">
      <w:pPr>
        <w:ind w:firstLine="709"/>
      </w:pPr>
    </w:p>
    <w:p w14:paraId="5A5C95E5" w14:textId="5BA3717A" w:rsidR="007F1BE2" w:rsidRPr="00262ECA" w:rsidRDefault="007F1BE2" w:rsidP="007F1BE2">
      <w:pPr>
        <w:rPr>
          <w:b/>
          <w:bCs/>
          <w:i/>
          <w:iCs/>
          <w:u w:val="single"/>
        </w:rPr>
      </w:pPr>
      <w:r w:rsidRPr="00262ECA">
        <w:rPr>
          <w:b/>
          <w:bCs/>
          <w:i/>
          <w:iCs/>
          <w:u w:val="single"/>
        </w:rPr>
        <w:t>Údaje</w:t>
      </w:r>
      <w:r w:rsidR="00262ECA" w:rsidRPr="00262ECA">
        <w:rPr>
          <w:b/>
          <w:bCs/>
          <w:i/>
          <w:iCs/>
          <w:u w:val="single"/>
        </w:rPr>
        <w:t xml:space="preserve"> </w:t>
      </w:r>
      <w:r w:rsidRPr="00262ECA">
        <w:rPr>
          <w:b/>
          <w:bCs/>
          <w:i/>
          <w:iCs/>
          <w:u w:val="single"/>
        </w:rPr>
        <w:t>o</w:t>
      </w:r>
      <w:r w:rsidR="00262ECA" w:rsidRPr="00262ECA">
        <w:rPr>
          <w:b/>
          <w:bCs/>
          <w:i/>
          <w:iCs/>
          <w:u w:val="single"/>
        </w:rPr>
        <w:t> </w:t>
      </w:r>
      <w:r w:rsidRPr="00262ECA">
        <w:rPr>
          <w:b/>
          <w:bCs/>
          <w:i/>
          <w:iCs/>
          <w:u w:val="single"/>
        </w:rPr>
        <w:t>výstupoch</w:t>
      </w:r>
    </w:p>
    <w:p w14:paraId="1538F901" w14:textId="77777777" w:rsidR="00262ECA" w:rsidRDefault="00262ECA" w:rsidP="007F1BE2"/>
    <w:p w14:paraId="2CEF4A9C" w14:textId="77777777" w:rsidR="007F1BE2" w:rsidRPr="00262ECA" w:rsidRDefault="007F1BE2" w:rsidP="007F1BE2">
      <w:pPr>
        <w:rPr>
          <w:i/>
          <w:iCs/>
        </w:rPr>
      </w:pPr>
      <w:r w:rsidRPr="00262ECA">
        <w:rPr>
          <w:i/>
          <w:iCs/>
        </w:rPr>
        <w:t>Emisie</w:t>
      </w:r>
    </w:p>
    <w:p w14:paraId="730E0308" w14:textId="2845438B" w:rsidR="007F1BE2" w:rsidRDefault="007F1BE2" w:rsidP="007F1BE2">
      <w:r>
        <w:t>Samotná technológia nebude zdrojom znečisťovania ovzdušia, procesný ohrev je zabezpečený elektrickým vyhrievaním. Zdrojom emisií zo spaľovania zemného plynu budú vyhrievače inštalované vo výrobnej hale. Tieto budú mať samostatné výduchy nad strechu objektu. Výroba TUV a vykurovanie pôvodnej prevádzky zostanú nezmenené.</w:t>
      </w:r>
    </w:p>
    <w:p w14:paraId="043CE665" w14:textId="77777777" w:rsidR="00262ECA" w:rsidRDefault="00262ECA" w:rsidP="007F1BE2"/>
    <w:p w14:paraId="7B974B3B" w14:textId="77777777" w:rsidR="007F1BE2" w:rsidRPr="00262ECA" w:rsidRDefault="007F1BE2" w:rsidP="007F1BE2">
      <w:pPr>
        <w:rPr>
          <w:i/>
          <w:iCs/>
        </w:rPr>
      </w:pPr>
      <w:r w:rsidRPr="00262ECA">
        <w:rPr>
          <w:i/>
          <w:iCs/>
        </w:rPr>
        <w:t>Odpadové vody</w:t>
      </w:r>
    </w:p>
    <w:p w14:paraId="762E040D" w14:textId="2F5F5B54" w:rsidR="007F1BE2" w:rsidRDefault="007F1BE2" w:rsidP="007F1BE2">
      <w:r>
        <w:t xml:space="preserve">Navrhovaná technológia neprodukuje technologické odpadové vody. Odpadové vody zo sociálnych zariadení budú v navrhovaných objektoch odvádzané kanalizáciou do žumpy. Dažďové vody budú vedené do </w:t>
      </w:r>
      <w:proofErr w:type="spellStart"/>
      <w:r>
        <w:t>vsaku</w:t>
      </w:r>
      <w:proofErr w:type="spellEnd"/>
      <w:r>
        <w:t>, v prípade vôd z parkoviska budú tiež prečistené v ORL.</w:t>
      </w:r>
    </w:p>
    <w:p w14:paraId="783F668D" w14:textId="77777777" w:rsidR="00262ECA" w:rsidRDefault="00262ECA" w:rsidP="007F1BE2"/>
    <w:p w14:paraId="5E5E5D08" w14:textId="77777777" w:rsidR="007F1BE2" w:rsidRPr="00262ECA" w:rsidRDefault="007F1BE2" w:rsidP="007F1BE2">
      <w:pPr>
        <w:rPr>
          <w:i/>
          <w:iCs/>
        </w:rPr>
      </w:pPr>
      <w:r w:rsidRPr="00262ECA">
        <w:rPr>
          <w:i/>
          <w:iCs/>
        </w:rPr>
        <w:t>Odpady</w:t>
      </w:r>
    </w:p>
    <w:p w14:paraId="6523F4EA" w14:textId="334E228A" w:rsidR="007F1BE2" w:rsidRDefault="007F1BE2" w:rsidP="007F1BE2">
      <w:r>
        <w:t>Prevádzka bude po zmene navrhovanej činnosti produkovať rovnaké druhy odpadov ako v súčasnosti, dôjde však k navýšeniu produkcie niektorých druhov.</w:t>
      </w:r>
    </w:p>
    <w:p w14:paraId="578FD096" w14:textId="77777777" w:rsidR="00262ECA" w:rsidRDefault="00262ECA" w:rsidP="007F1BE2"/>
    <w:p w14:paraId="2F779C43" w14:textId="77777777" w:rsidR="007F1BE2" w:rsidRPr="00262ECA" w:rsidRDefault="007F1BE2" w:rsidP="007F1BE2">
      <w:pPr>
        <w:rPr>
          <w:i/>
          <w:iCs/>
        </w:rPr>
      </w:pPr>
      <w:r w:rsidRPr="00262ECA">
        <w:rPr>
          <w:i/>
          <w:iCs/>
        </w:rPr>
        <w:t>Hluk a vibrácie</w:t>
      </w:r>
    </w:p>
    <w:p w14:paraId="1AB2755B" w14:textId="4341FD22" w:rsidR="007F1BE2" w:rsidRDefault="007F1BE2" w:rsidP="007F1BE2">
      <w:r>
        <w:t>Umiestnenie prevádzky zabezpečuje že obyvateľstvo v najbližšej obytnej zástavbe nebude dotknuté prípadným hlukom alebo vibráciami z prevádzky, rovnako ani navýšením intenzity dopravy.</w:t>
      </w:r>
    </w:p>
    <w:p w14:paraId="5598D7BE" w14:textId="77777777" w:rsidR="00262ECA" w:rsidRDefault="00262ECA" w:rsidP="007F1BE2"/>
    <w:p w14:paraId="4B4CF4AE" w14:textId="77777777" w:rsidR="007F1BE2" w:rsidRPr="00262ECA" w:rsidRDefault="007F1BE2" w:rsidP="007F1BE2">
      <w:pPr>
        <w:rPr>
          <w:i/>
          <w:iCs/>
        </w:rPr>
      </w:pPr>
      <w:r w:rsidRPr="00262ECA">
        <w:rPr>
          <w:i/>
          <w:iCs/>
        </w:rPr>
        <w:lastRenderedPageBreak/>
        <w:t>Žiarenie a iné fyzikálne polia</w:t>
      </w:r>
    </w:p>
    <w:p w14:paraId="6253A222" w14:textId="63997E6B" w:rsidR="007F1BE2" w:rsidRDefault="007F1BE2" w:rsidP="007F1BE2">
      <w:r>
        <w:t>Realizáciou navrhovanej činnosti nedôjde k umiestneniu zariadení ktoré by boli zdrojom žiarenia alebo iných nežiadúcich fyzikálnych polí.</w:t>
      </w:r>
    </w:p>
    <w:p w14:paraId="1293CC61" w14:textId="77777777" w:rsidR="00262ECA" w:rsidRDefault="00262ECA" w:rsidP="007F1BE2"/>
    <w:p w14:paraId="3D7FD3E9" w14:textId="77777777" w:rsidR="007F1BE2" w:rsidRPr="00262ECA" w:rsidRDefault="007F1BE2" w:rsidP="007F1BE2">
      <w:pPr>
        <w:rPr>
          <w:i/>
          <w:iCs/>
        </w:rPr>
      </w:pPr>
      <w:r w:rsidRPr="00262ECA">
        <w:rPr>
          <w:i/>
          <w:iCs/>
        </w:rPr>
        <w:t>Zápach a iné výstupy</w:t>
      </w:r>
    </w:p>
    <w:p w14:paraId="6BF15826" w14:textId="77777777" w:rsidR="007F1BE2" w:rsidRDefault="007F1BE2" w:rsidP="007F1BE2">
      <w:r>
        <w:t>Realizáciou navrhovanej činnosti nepredpokladáme zvýšenú intenzitu zápachu a iných výstupov ktoré nie sú špecificky popísané v príslušných kapitolách.</w:t>
      </w:r>
    </w:p>
    <w:p w14:paraId="24CFA716" w14:textId="77777777" w:rsidR="007F1BE2" w:rsidRDefault="007F1BE2" w:rsidP="007F1BE2"/>
    <w:p w14:paraId="22E39F96" w14:textId="4B14623B" w:rsidR="00262ECA" w:rsidRDefault="00262ECA" w:rsidP="00262ECA">
      <w:pPr>
        <w:rPr>
          <w:b/>
          <w:bCs/>
          <w:i/>
          <w:iCs/>
          <w:u w:val="single"/>
        </w:rPr>
      </w:pPr>
      <w:r w:rsidRPr="00262ECA">
        <w:rPr>
          <w:b/>
          <w:bCs/>
          <w:i/>
          <w:iCs/>
          <w:u w:val="single"/>
        </w:rPr>
        <w:t>Informácie o predpokladaných vplyvoch navrhovanej činnosti</w:t>
      </w:r>
    </w:p>
    <w:p w14:paraId="680945BA" w14:textId="77777777" w:rsidR="00262ECA" w:rsidRPr="00262ECA" w:rsidRDefault="00262ECA" w:rsidP="00262ECA">
      <w:pPr>
        <w:rPr>
          <w:b/>
          <w:bCs/>
          <w:i/>
          <w:iCs/>
          <w:u w:val="single"/>
        </w:rPr>
      </w:pPr>
    </w:p>
    <w:p w14:paraId="116DEFD9" w14:textId="77777777" w:rsidR="00262ECA" w:rsidRPr="00262ECA" w:rsidRDefault="00262ECA" w:rsidP="00262ECA">
      <w:pPr>
        <w:rPr>
          <w:i/>
          <w:iCs/>
        </w:rPr>
      </w:pPr>
      <w:r w:rsidRPr="00262ECA">
        <w:rPr>
          <w:i/>
          <w:iCs/>
        </w:rPr>
        <w:t>Vplyvy na horninové prostredie a pôdu</w:t>
      </w:r>
    </w:p>
    <w:p w14:paraId="41970DB5" w14:textId="46C4D7AC" w:rsidR="00262ECA" w:rsidRDefault="00262ECA" w:rsidP="00262ECA">
      <w:r>
        <w:t>V dôsledku realizácie zmeny posudzovanej činnosti nedôjde k ovplyvneniu kvality horninového prostredia v okolí prevádzky. Potenciálny vplyv na horninové prostredie predstavuje potenciál úniku škodlivých látok alebo prevádzkových kvapalín automobilov.</w:t>
      </w:r>
    </w:p>
    <w:p w14:paraId="0892B8EE" w14:textId="77777777" w:rsidR="00262ECA" w:rsidRDefault="00262ECA" w:rsidP="00262ECA"/>
    <w:p w14:paraId="5AF5A33B" w14:textId="77777777" w:rsidR="00262ECA" w:rsidRPr="00262ECA" w:rsidRDefault="00262ECA" w:rsidP="00262ECA">
      <w:pPr>
        <w:rPr>
          <w:i/>
          <w:iCs/>
        </w:rPr>
      </w:pPr>
      <w:r w:rsidRPr="00262ECA">
        <w:rPr>
          <w:i/>
          <w:iCs/>
        </w:rPr>
        <w:t>Vplyv na vodné pomery</w:t>
      </w:r>
    </w:p>
    <w:p w14:paraId="1C83FD68" w14:textId="7FCD34F6" w:rsidR="00262ECA" w:rsidRDefault="00262ECA" w:rsidP="00262ECA">
      <w:r w:rsidRPr="000D603E">
        <w:t xml:space="preserve">Realizáciou navrhovanej činnosti nebudú ovplyvnené hydrologické a hydrogeologické pomery povrchových a podzemných vôd. </w:t>
      </w:r>
      <w:r>
        <w:t xml:space="preserve">Potenciálny vplyv na vodné prostredie predstavuje potenciál úniku škodlivých látok alebo prevádzkových kvapalín automobilov. </w:t>
      </w:r>
    </w:p>
    <w:p w14:paraId="7E75AB89" w14:textId="77777777" w:rsidR="00262ECA" w:rsidRDefault="00262ECA" w:rsidP="00262ECA"/>
    <w:p w14:paraId="0E9D32A3" w14:textId="77777777" w:rsidR="00262ECA" w:rsidRPr="00262ECA" w:rsidRDefault="00262ECA" w:rsidP="00262ECA">
      <w:pPr>
        <w:rPr>
          <w:i/>
          <w:iCs/>
        </w:rPr>
      </w:pPr>
      <w:r w:rsidRPr="00262ECA">
        <w:rPr>
          <w:i/>
          <w:iCs/>
        </w:rPr>
        <w:t>Vplyvy na ovzdušie</w:t>
      </w:r>
    </w:p>
    <w:p w14:paraId="3FAC3F01" w14:textId="0342B5D0" w:rsidR="00262ECA" w:rsidRDefault="00262ECA" w:rsidP="00262ECA">
      <w:r>
        <w:t>Technológia umiestnená v navrhovaných objektoch nebude zdrojom znečisťovania ovzdušia. Realizáciou navrhovanej činnosti dôjde k vybudovaniu systému vykurovania pomocou plynových žiaričov. Tieto budú tvoriť emisie ktoré budú do ovzdušia odvádzané pomocou organizovaných výduchov nad strechu. Presné množstvo a parametre týchto zariadení nie sú v tomto štádiu bližšie špecifikované. Nezanedbateľným vplyvom na kvalitu ovzdušia bude zároveň navýšenie intenzity dopravy, ktorá bude produkovať emisie. V najnepriaznivejšom variante pôjde o 22 prejazdov nákladných automobilov denne a 350 prejazdov osobných automobilov denne.</w:t>
      </w:r>
    </w:p>
    <w:p w14:paraId="31459699" w14:textId="77777777" w:rsidR="00262ECA" w:rsidRDefault="00262ECA" w:rsidP="00262ECA"/>
    <w:p w14:paraId="4DF9CE26" w14:textId="77777777" w:rsidR="00262ECA" w:rsidRPr="00262ECA" w:rsidRDefault="00262ECA" w:rsidP="00262ECA">
      <w:pPr>
        <w:rPr>
          <w:i/>
          <w:iCs/>
        </w:rPr>
      </w:pPr>
      <w:proofErr w:type="spellStart"/>
      <w:r w:rsidRPr="00262ECA">
        <w:rPr>
          <w:i/>
          <w:iCs/>
        </w:rPr>
        <w:t>Biota</w:t>
      </w:r>
      <w:proofErr w:type="spellEnd"/>
    </w:p>
    <w:p w14:paraId="036657E8" w14:textId="20414447" w:rsidR="00262ECA" w:rsidRDefault="00262ECA" w:rsidP="00262ECA">
      <w:r>
        <w:t xml:space="preserve">Vzhľadom na umiestnenie navrhovanej činnosti </w:t>
      </w:r>
      <w:r w:rsidR="00674FFC">
        <w:t xml:space="preserve">v priemyselnom areály </w:t>
      </w:r>
      <w:r>
        <w:t xml:space="preserve">nepredpokladáme významný vplyv na </w:t>
      </w:r>
      <w:proofErr w:type="spellStart"/>
      <w:r>
        <w:t>biotu</w:t>
      </w:r>
      <w:proofErr w:type="spellEnd"/>
      <w:r>
        <w:t>.</w:t>
      </w:r>
    </w:p>
    <w:p w14:paraId="4F16F8CD" w14:textId="77777777" w:rsidR="00262ECA" w:rsidRDefault="00262ECA" w:rsidP="00262ECA"/>
    <w:p w14:paraId="0847196E" w14:textId="77777777" w:rsidR="00262ECA" w:rsidRPr="00262ECA" w:rsidRDefault="00262ECA" w:rsidP="00262ECA">
      <w:pPr>
        <w:rPr>
          <w:i/>
          <w:iCs/>
        </w:rPr>
      </w:pPr>
      <w:r w:rsidRPr="00262ECA">
        <w:rPr>
          <w:i/>
          <w:iCs/>
        </w:rPr>
        <w:t>Vplyv na krajinu a scenériu</w:t>
      </w:r>
    </w:p>
    <w:p w14:paraId="2AA742A4" w14:textId="55AF419A" w:rsidR="00262ECA" w:rsidRDefault="00262ECA" w:rsidP="00262ECA">
      <w:r>
        <w:t>Navrhovaná činnosť bude z hľadiska vplyvov na krajinu a scenériu charakterizovaná ako výstavba nového objektu. Tento bude funkčne a architektonicky zapadať do súčasnej prevádzky, nepredpokladáme teda že by scenéria bola touto činnosťou výrazne narušená.</w:t>
      </w:r>
    </w:p>
    <w:p w14:paraId="3F748F81" w14:textId="77777777" w:rsidR="00262ECA" w:rsidRDefault="00262ECA" w:rsidP="00262ECA"/>
    <w:p w14:paraId="6DB45176" w14:textId="77777777" w:rsidR="00262ECA" w:rsidRDefault="00262ECA" w:rsidP="00262ECA">
      <w:r>
        <w:t>Vplyv na obyvateľstvo</w:t>
      </w:r>
    </w:p>
    <w:p w14:paraId="39A60B70" w14:textId="3F53B64D" w:rsidR="00262ECA" w:rsidRDefault="00262ECA" w:rsidP="00262ECA">
      <w:r>
        <w:t>Navrhovaná činnosť je z pohľadu vplyvov na obyvateľstvo umiestnená vhodným spôsobom . Z tohto dôvodu nepredpokladáme signifikantný vplyv navrhovanej zmeny na obyvateľstvo.</w:t>
      </w:r>
    </w:p>
    <w:p w14:paraId="09857C0C" w14:textId="77777777" w:rsidR="00262ECA" w:rsidRDefault="00262ECA" w:rsidP="00262ECA"/>
    <w:p w14:paraId="32118CFF" w14:textId="77777777" w:rsidR="00262ECA" w:rsidRPr="00262ECA" w:rsidRDefault="00262ECA" w:rsidP="00262ECA">
      <w:pPr>
        <w:rPr>
          <w:i/>
          <w:iCs/>
        </w:rPr>
      </w:pPr>
      <w:r w:rsidRPr="00262ECA">
        <w:rPr>
          <w:i/>
          <w:iCs/>
        </w:rPr>
        <w:t>Hodnotenie zdravotných rizík</w:t>
      </w:r>
    </w:p>
    <w:p w14:paraId="665AED26" w14:textId="60F48431" w:rsidR="00262ECA" w:rsidRDefault="00262ECA" w:rsidP="00262ECA">
      <w:r>
        <w:t>Zdravotné riziká budú pri navrhovanej zmene sústredené prevažne do areálu prevádzkovateľa a budú im vystavení hlavne zamestnanci prevádzky. Tieto vplyvy budú do značnej miery redukované alebo eliminované prostredníctvom opatrení BOZP.</w:t>
      </w:r>
    </w:p>
    <w:p w14:paraId="1F802F9C" w14:textId="77777777" w:rsidR="00262ECA" w:rsidRDefault="00262ECA" w:rsidP="00262ECA"/>
    <w:p w14:paraId="4948B4D4" w14:textId="77777777" w:rsidR="00262ECA" w:rsidRPr="00262ECA" w:rsidRDefault="00262ECA" w:rsidP="00262ECA">
      <w:pPr>
        <w:rPr>
          <w:i/>
          <w:iCs/>
        </w:rPr>
      </w:pPr>
      <w:r w:rsidRPr="00262ECA">
        <w:rPr>
          <w:i/>
          <w:iCs/>
        </w:rPr>
        <w:lastRenderedPageBreak/>
        <w:t>Údaje o predpokladaných vplyvoch navrhovanej činnosti na chránené územia</w:t>
      </w:r>
    </w:p>
    <w:p w14:paraId="054E03AF" w14:textId="77777777" w:rsidR="00262ECA" w:rsidRDefault="00262ECA" w:rsidP="00262ECA">
      <w:r>
        <w:t xml:space="preserve">Navrhovaná činnosť nezasahuje do chránených území. Realizáciou navrhovanej zmeny teda nedôjde k vytvoreniu nežiadúcich vplyvov na chránené územia. </w:t>
      </w:r>
    </w:p>
    <w:p w14:paraId="51504F53" w14:textId="5F99784B" w:rsidR="00101868" w:rsidRPr="00646379" w:rsidRDefault="00101868">
      <w:pPr>
        <w:rPr>
          <w:highlight w:val="yellow"/>
        </w:rPr>
      </w:pPr>
      <w:r w:rsidRPr="00646379">
        <w:rPr>
          <w:highlight w:val="yellow"/>
        </w:rPr>
        <w:br w:type="page"/>
      </w:r>
    </w:p>
    <w:p w14:paraId="1100017E" w14:textId="77777777" w:rsidR="00C2550F" w:rsidRPr="00BA275F" w:rsidRDefault="00C2550F" w:rsidP="00A830C1">
      <w:pPr>
        <w:pStyle w:val="Nadpis1"/>
        <w:numPr>
          <w:ilvl w:val="0"/>
          <w:numId w:val="8"/>
        </w:numPr>
        <w:rPr>
          <w:i w:val="0"/>
        </w:rPr>
      </w:pPr>
      <w:bookmarkStart w:id="55" w:name="_Toc364747876"/>
      <w:bookmarkStart w:id="56" w:name="_Toc31615212"/>
      <w:r w:rsidRPr="00BA275F">
        <w:rPr>
          <w:i w:val="0"/>
        </w:rPr>
        <w:lastRenderedPageBreak/>
        <w:t>PRÍLOHY</w:t>
      </w:r>
      <w:bookmarkEnd w:id="55"/>
      <w:bookmarkEnd w:id="56"/>
    </w:p>
    <w:p w14:paraId="4845E62F" w14:textId="77777777" w:rsidR="00ED765B" w:rsidRPr="00646379" w:rsidRDefault="00ED765B" w:rsidP="00C2550F">
      <w:pPr>
        <w:rPr>
          <w:b/>
          <w:highlight w:val="yellow"/>
        </w:rPr>
      </w:pPr>
    </w:p>
    <w:p w14:paraId="3C9C87BE" w14:textId="77777777" w:rsidR="00C2550F" w:rsidRPr="00BA275F" w:rsidRDefault="00C2550F" w:rsidP="00BA275F">
      <w:pPr>
        <w:pStyle w:val="Odsekzoznamu"/>
        <w:numPr>
          <w:ilvl w:val="0"/>
          <w:numId w:val="23"/>
        </w:numPr>
        <w:ind w:left="709" w:hanging="709"/>
        <w:rPr>
          <w:b/>
        </w:rPr>
      </w:pPr>
      <w:r w:rsidRPr="00BA275F">
        <w:rPr>
          <w:b/>
        </w:rPr>
        <w:t>Informácia, či navrhovaná činnosť bola posudzovaná podľa zákona; v prípade, ak áno, uvedie sa číslo a dátum záverečného stanoviska, príp. jeho kópia</w:t>
      </w:r>
    </w:p>
    <w:p w14:paraId="5C1068BA" w14:textId="50E9AA09" w:rsidR="00BA275F" w:rsidRPr="00BA275F" w:rsidRDefault="00BA275F" w:rsidP="00BA275F">
      <w:pPr>
        <w:pStyle w:val="Odsekzoznamu"/>
        <w:ind w:left="709"/>
        <w:rPr>
          <w:bCs/>
        </w:rPr>
      </w:pPr>
      <w:r w:rsidRPr="00BA275F">
        <w:rPr>
          <w:bCs/>
        </w:rPr>
        <w:t>Činnosť ktorej sa navrhovaná zmena týka nebola posudzovaná podľa zákona</w:t>
      </w:r>
      <w:r w:rsidR="00242A58">
        <w:rPr>
          <w:bCs/>
        </w:rPr>
        <w:t xml:space="preserve"> 24/2006 Z.z</w:t>
      </w:r>
      <w:r w:rsidRPr="00BA275F">
        <w:rPr>
          <w:bCs/>
        </w:rPr>
        <w:t>.</w:t>
      </w:r>
      <w:r w:rsidR="00242A58">
        <w:rPr>
          <w:bCs/>
        </w:rPr>
        <w:t xml:space="preserve"> Vzhľadom na to že ide o existujúcu prevádzku a navrhovaná zmena podlieha posudzovaniu v zmysle kategorizácie činnosti uvedenej v kapitole </w:t>
      </w:r>
      <w:r w:rsidR="00242A58" w:rsidRPr="00242A58">
        <w:rPr>
          <w:bCs/>
          <w:i/>
          <w:iCs/>
        </w:rPr>
        <w:t>III. Údaje o zmene navrhovanej činnosti</w:t>
      </w:r>
      <w:r w:rsidR="00242A58">
        <w:rPr>
          <w:bCs/>
        </w:rPr>
        <w:t xml:space="preserve"> je predložené Oznámenie o zmene. Problematika tiež bola konzultovaná s Okresným úradom v Žarnovici a stanovisko tohto orgánu sa nachádza v prílohách tohto Oznámenia.</w:t>
      </w:r>
    </w:p>
    <w:p w14:paraId="7C8E8634" w14:textId="77777777" w:rsidR="00665165" w:rsidRPr="00646379" w:rsidRDefault="00665165" w:rsidP="00665165">
      <w:pPr>
        <w:rPr>
          <w:highlight w:val="yellow"/>
        </w:rPr>
      </w:pPr>
    </w:p>
    <w:p w14:paraId="02BF628B" w14:textId="77777777" w:rsidR="00C2550F" w:rsidRPr="00646379" w:rsidRDefault="00C2550F" w:rsidP="00C2550F">
      <w:pPr>
        <w:rPr>
          <w:b/>
          <w:highlight w:val="yellow"/>
        </w:rPr>
      </w:pPr>
    </w:p>
    <w:p w14:paraId="03342679" w14:textId="2F2D0140" w:rsidR="00C2550F" w:rsidRPr="00BA275F" w:rsidRDefault="00C2550F" w:rsidP="00C2550F">
      <w:pPr>
        <w:rPr>
          <w:b/>
        </w:rPr>
      </w:pPr>
      <w:r w:rsidRPr="00BA275F">
        <w:rPr>
          <w:b/>
        </w:rPr>
        <w:t xml:space="preserve">2. </w:t>
      </w:r>
      <w:r w:rsidRPr="00BA275F">
        <w:rPr>
          <w:b/>
        </w:rPr>
        <w:tab/>
        <w:t xml:space="preserve">Mapy širších vzťahov s označením umiestnenia zmeny navrhovanej činnosti v </w:t>
      </w:r>
      <w:r w:rsidR="00242A58">
        <w:rPr>
          <w:b/>
        </w:rPr>
        <w:tab/>
      </w:r>
      <w:r w:rsidRPr="00BA275F">
        <w:rPr>
          <w:b/>
        </w:rPr>
        <w:t>danej obci a vo vzťahu k okolitej zástavbe</w:t>
      </w:r>
    </w:p>
    <w:p w14:paraId="02B49760" w14:textId="77777777" w:rsidR="00C2550F" w:rsidRPr="00BA275F" w:rsidRDefault="00C2550F" w:rsidP="00BA275F">
      <w:pPr>
        <w:ind w:left="709"/>
      </w:pPr>
      <w:r w:rsidRPr="00BA275F">
        <w:t>Mapa širších vzťahov je v</w:t>
      </w:r>
      <w:r w:rsidR="00665165" w:rsidRPr="00BA275F">
        <w:t xml:space="preserve"> mapovej </w:t>
      </w:r>
      <w:r w:rsidRPr="00BA275F">
        <w:t xml:space="preserve">prílohe </w:t>
      </w:r>
      <w:r w:rsidR="0040245E" w:rsidRPr="00BA275F">
        <w:t xml:space="preserve">č. </w:t>
      </w:r>
      <w:r w:rsidR="00665165" w:rsidRPr="00BA275F">
        <w:t>1</w:t>
      </w:r>
      <w:r w:rsidRPr="00BA275F">
        <w:t>.</w:t>
      </w:r>
    </w:p>
    <w:p w14:paraId="651FF6D0" w14:textId="77777777" w:rsidR="00277123" w:rsidRPr="00BA275F" w:rsidRDefault="00277123" w:rsidP="00BA275F">
      <w:pPr>
        <w:ind w:left="709"/>
      </w:pPr>
      <w:r w:rsidRPr="00BA275F">
        <w:t>Umiestnenie v rámci katastrálneho územia je v mapovej prílohe č. 2.</w:t>
      </w:r>
    </w:p>
    <w:p w14:paraId="164C83F1" w14:textId="77777777" w:rsidR="00277123" w:rsidRPr="00BA275F" w:rsidRDefault="00277123" w:rsidP="00BA275F">
      <w:pPr>
        <w:ind w:left="709"/>
      </w:pPr>
      <w:r w:rsidRPr="00BA275F">
        <w:t>Dotknuté parcely zmeny navrhovanej činnosti sú zobrazené v mapovej prílohe č. 3.</w:t>
      </w:r>
    </w:p>
    <w:p w14:paraId="106E60E9" w14:textId="77777777" w:rsidR="00C2550F" w:rsidRPr="00646379" w:rsidRDefault="00C2550F" w:rsidP="00BA275F">
      <w:pPr>
        <w:ind w:left="709"/>
        <w:rPr>
          <w:b/>
          <w:highlight w:val="yellow"/>
        </w:rPr>
      </w:pPr>
    </w:p>
    <w:p w14:paraId="7588927F" w14:textId="77777777" w:rsidR="00C2550F" w:rsidRPr="00BA275F" w:rsidRDefault="00BA275F" w:rsidP="00C2550F">
      <w:pPr>
        <w:rPr>
          <w:b/>
        </w:rPr>
      </w:pPr>
      <w:r w:rsidRPr="00BA275F">
        <w:rPr>
          <w:b/>
        </w:rPr>
        <w:t>3</w:t>
      </w:r>
      <w:r w:rsidR="00C2550F" w:rsidRPr="00BA275F">
        <w:rPr>
          <w:b/>
        </w:rPr>
        <w:t xml:space="preserve">. </w:t>
      </w:r>
      <w:r w:rsidR="00C2550F" w:rsidRPr="00BA275F">
        <w:rPr>
          <w:b/>
        </w:rPr>
        <w:tab/>
        <w:t>Dokumentácia k zmene navrhovanej činnosti.</w:t>
      </w:r>
    </w:p>
    <w:p w14:paraId="136919C3" w14:textId="23B65505" w:rsidR="00C2550F" w:rsidRPr="00BA275F" w:rsidRDefault="00C2550F" w:rsidP="00BA275F">
      <w:pPr>
        <w:ind w:left="709"/>
      </w:pPr>
      <w:r w:rsidRPr="00BA275F">
        <w:t xml:space="preserve">K zmene navrhovanej činnosti, </w:t>
      </w:r>
      <w:r w:rsidR="00242A58">
        <w:t>je vypracovaná projektová dokumentácia, ktorá bude doplnená o konkrétne návrhy ktoré vyplynú z procesu posudzovania vplyvov na životné prostredie.</w:t>
      </w:r>
    </w:p>
    <w:p w14:paraId="420DF8A0" w14:textId="77777777" w:rsidR="007A6CA0" w:rsidRPr="00646379" w:rsidRDefault="007A6CA0">
      <w:pPr>
        <w:rPr>
          <w:highlight w:val="yellow"/>
        </w:rPr>
      </w:pPr>
      <w:r w:rsidRPr="00646379">
        <w:rPr>
          <w:highlight w:val="yellow"/>
        </w:rPr>
        <w:br w:type="page"/>
      </w:r>
    </w:p>
    <w:p w14:paraId="2D07E11A" w14:textId="288483E7" w:rsidR="007A6CA0" w:rsidRPr="004C0C38" w:rsidRDefault="007A6CA0" w:rsidP="00A830C1">
      <w:pPr>
        <w:pStyle w:val="Nadpis1"/>
        <w:numPr>
          <w:ilvl w:val="0"/>
          <w:numId w:val="8"/>
        </w:numPr>
        <w:spacing w:line="240" w:lineRule="auto"/>
        <w:rPr>
          <w:i w:val="0"/>
        </w:rPr>
      </w:pPr>
      <w:bookmarkStart w:id="57" w:name="_Toc364747877"/>
      <w:bookmarkStart w:id="58" w:name="_Toc31615213"/>
      <w:r w:rsidRPr="004C0C38">
        <w:rPr>
          <w:i w:val="0"/>
        </w:rPr>
        <w:lastRenderedPageBreak/>
        <w:t>DÁTUM SPRACOVANIA</w:t>
      </w:r>
      <w:bookmarkEnd w:id="57"/>
      <w:bookmarkEnd w:id="58"/>
    </w:p>
    <w:p w14:paraId="22536728" w14:textId="77777777" w:rsidR="00047F4D" w:rsidRPr="004C0C38" w:rsidRDefault="00047F4D" w:rsidP="007A6CA0"/>
    <w:p w14:paraId="74A932A9" w14:textId="50BAF86D" w:rsidR="007A6CA0" w:rsidRPr="004C0C38" w:rsidRDefault="007A6CA0" w:rsidP="007A6CA0">
      <w:r w:rsidRPr="004C0C38">
        <w:t>V Banskej Bystrici</w:t>
      </w:r>
      <w:r w:rsidR="00FE5BFE" w:rsidRPr="004C0C38">
        <w:t>,</w:t>
      </w:r>
      <w:r w:rsidRPr="004C0C38">
        <w:t xml:space="preserve"> dňa </w:t>
      </w:r>
      <w:r w:rsidR="0012283D">
        <w:t>03</w:t>
      </w:r>
      <w:r w:rsidRPr="004C0C38">
        <w:t>.</w:t>
      </w:r>
      <w:r w:rsidR="00323199" w:rsidRPr="004C0C38">
        <w:t>0</w:t>
      </w:r>
      <w:r w:rsidR="0012283D">
        <w:t>2</w:t>
      </w:r>
      <w:r w:rsidRPr="004C0C38">
        <w:t>. 20</w:t>
      </w:r>
      <w:r w:rsidR="0012283D">
        <w:t>20</w:t>
      </w:r>
    </w:p>
    <w:p w14:paraId="1A096207" w14:textId="77777777" w:rsidR="007A6CA0" w:rsidRPr="00646379" w:rsidRDefault="007A6CA0" w:rsidP="007A6CA0">
      <w:pPr>
        <w:ind w:firstLine="720"/>
        <w:rPr>
          <w:highlight w:val="yellow"/>
        </w:rPr>
      </w:pPr>
    </w:p>
    <w:p w14:paraId="750257EB" w14:textId="77777777" w:rsidR="007A6CA0" w:rsidRPr="004C0C38" w:rsidRDefault="007A6CA0" w:rsidP="00A830C1">
      <w:pPr>
        <w:pStyle w:val="Nadpis1"/>
        <w:numPr>
          <w:ilvl w:val="0"/>
          <w:numId w:val="8"/>
        </w:numPr>
        <w:spacing w:line="240" w:lineRule="auto"/>
        <w:jc w:val="left"/>
        <w:rPr>
          <w:i w:val="0"/>
        </w:rPr>
      </w:pPr>
      <w:bookmarkStart w:id="59" w:name="_Toc364747878"/>
      <w:bookmarkStart w:id="60" w:name="_Toc31615214"/>
      <w:r w:rsidRPr="004C0C38">
        <w:rPr>
          <w:i w:val="0"/>
        </w:rPr>
        <w:t>MENO, PRIEZVISKO, ADRESA A PODPIS SPRACOVATEĽA OZNÁMENIA</w:t>
      </w:r>
      <w:bookmarkEnd w:id="59"/>
      <w:bookmarkEnd w:id="60"/>
    </w:p>
    <w:p w14:paraId="75F3C71B" w14:textId="77777777" w:rsidR="007A6CA0" w:rsidRPr="00646379" w:rsidRDefault="007A6CA0" w:rsidP="007A6CA0">
      <w:pPr>
        <w:rPr>
          <w:highlight w:val="yellow"/>
        </w:rPr>
      </w:pPr>
    </w:p>
    <w:p w14:paraId="242A5703" w14:textId="77777777" w:rsidR="004C0C38" w:rsidRPr="004C0C38" w:rsidRDefault="004C0C38" w:rsidP="00471293">
      <w:r w:rsidRPr="004C0C38">
        <w:t>Mgr. Patrik Baliak</w:t>
      </w:r>
    </w:p>
    <w:p w14:paraId="0758DFD7" w14:textId="77777777" w:rsidR="00471293" w:rsidRPr="004C0C38" w:rsidRDefault="00471293" w:rsidP="00471293">
      <w:r w:rsidRPr="004C0C38">
        <w:t xml:space="preserve">Ing. Juraj </w:t>
      </w:r>
      <w:proofErr w:type="spellStart"/>
      <w:r w:rsidRPr="004C0C38">
        <w:t>Musil</w:t>
      </w:r>
      <w:proofErr w:type="spellEnd"/>
    </w:p>
    <w:p w14:paraId="778FF519" w14:textId="77777777" w:rsidR="007A6CA0" w:rsidRPr="004C0C38" w:rsidRDefault="007A6CA0" w:rsidP="007A6CA0">
      <w:r w:rsidRPr="004C0C38">
        <w:t>INECO s.r.o., Mladých budovateľov 2, 974 11 Banská Bystrica</w:t>
      </w:r>
    </w:p>
    <w:p w14:paraId="68BAB08C" w14:textId="77777777" w:rsidR="007A6CA0" w:rsidRPr="00646379" w:rsidRDefault="007A6CA0" w:rsidP="007A6CA0">
      <w:pPr>
        <w:rPr>
          <w:highlight w:val="yellow"/>
        </w:rPr>
      </w:pPr>
    </w:p>
    <w:p w14:paraId="5D13DD6C" w14:textId="77777777" w:rsidR="007A6CA0" w:rsidRPr="00646379" w:rsidRDefault="007A6CA0" w:rsidP="007A6CA0">
      <w:pPr>
        <w:rPr>
          <w:highlight w:val="yellow"/>
        </w:rPr>
      </w:pPr>
    </w:p>
    <w:p w14:paraId="5E226E05" w14:textId="77777777" w:rsidR="007A6CA0" w:rsidRPr="00646379" w:rsidRDefault="007A6CA0" w:rsidP="007A6CA0">
      <w:pPr>
        <w:rPr>
          <w:highlight w:val="yellow"/>
        </w:rPr>
      </w:pPr>
    </w:p>
    <w:p w14:paraId="69E3A455" w14:textId="77777777" w:rsidR="007A6CA0" w:rsidRPr="00646379" w:rsidRDefault="007A6CA0" w:rsidP="007A6CA0">
      <w:pPr>
        <w:rPr>
          <w:highlight w:val="yellow"/>
        </w:rPr>
      </w:pPr>
    </w:p>
    <w:p w14:paraId="5D244E02" w14:textId="77777777" w:rsidR="007A6CA0" w:rsidRPr="00646379" w:rsidRDefault="007A6CA0" w:rsidP="007A6CA0">
      <w:pPr>
        <w:rPr>
          <w:highlight w:val="yellow"/>
        </w:rPr>
      </w:pPr>
    </w:p>
    <w:p w14:paraId="54D1899A" w14:textId="77777777" w:rsidR="007A6CA0" w:rsidRPr="00646379" w:rsidRDefault="007A6CA0" w:rsidP="007A6CA0">
      <w:pPr>
        <w:rPr>
          <w:highlight w:val="yellow"/>
        </w:rPr>
      </w:pPr>
    </w:p>
    <w:p w14:paraId="0598C1D9" w14:textId="77777777" w:rsidR="004C0C38" w:rsidRPr="004C0C38" w:rsidRDefault="004C0C38" w:rsidP="004C0C38">
      <w:pPr>
        <w:ind w:left="5103" w:firstLine="708"/>
      </w:pPr>
      <w:r w:rsidRPr="004C0C38">
        <w:t>_________________</w:t>
      </w:r>
    </w:p>
    <w:p w14:paraId="505160B2" w14:textId="77777777" w:rsidR="004C0C38" w:rsidRDefault="004C0C38" w:rsidP="004C0C38">
      <w:pPr>
        <w:ind w:left="5387" w:firstLine="708"/>
      </w:pPr>
      <w:r>
        <w:t xml:space="preserve">Ing. Juraj </w:t>
      </w:r>
      <w:proofErr w:type="spellStart"/>
      <w:r>
        <w:t>Musil</w:t>
      </w:r>
      <w:proofErr w:type="spellEnd"/>
    </w:p>
    <w:p w14:paraId="5CF775B6" w14:textId="77777777" w:rsidR="004C0C38" w:rsidRPr="004C0C38" w:rsidRDefault="004C0C38" w:rsidP="004C0C38">
      <w:pPr>
        <w:ind w:left="5387" w:firstLine="708"/>
      </w:pPr>
      <w:r>
        <w:t xml:space="preserve">   INECO, s.r.o.</w:t>
      </w:r>
    </w:p>
    <w:p w14:paraId="1C6BBA49" w14:textId="77777777" w:rsidR="007A6CA0" w:rsidRPr="00646379" w:rsidRDefault="007A6CA0" w:rsidP="007A6CA0">
      <w:pPr>
        <w:rPr>
          <w:highlight w:val="yellow"/>
        </w:rPr>
      </w:pPr>
    </w:p>
    <w:p w14:paraId="6BD63CF6" w14:textId="77777777" w:rsidR="007A6CA0" w:rsidRPr="00646379" w:rsidRDefault="007A6CA0" w:rsidP="007A6CA0">
      <w:pPr>
        <w:rPr>
          <w:highlight w:val="yellow"/>
        </w:rPr>
      </w:pPr>
    </w:p>
    <w:p w14:paraId="14ED9D49" w14:textId="77777777" w:rsidR="007A6CA0" w:rsidRPr="00646379" w:rsidRDefault="007A6CA0" w:rsidP="007A6CA0">
      <w:pPr>
        <w:rPr>
          <w:highlight w:val="yellow"/>
        </w:rPr>
      </w:pPr>
    </w:p>
    <w:p w14:paraId="7AB7ACFE" w14:textId="77777777" w:rsidR="007A6CA0" w:rsidRPr="004C0C38" w:rsidRDefault="007A6CA0" w:rsidP="00A830C1">
      <w:pPr>
        <w:pStyle w:val="Nadpis1"/>
        <w:numPr>
          <w:ilvl w:val="0"/>
          <w:numId w:val="8"/>
        </w:numPr>
        <w:rPr>
          <w:i w:val="0"/>
        </w:rPr>
      </w:pPr>
      <w:bookmarkStart w:id="61" w:name="_Toc355683330"/>
      <w:bookmarkStart w:id="62" w:name="_Toc364747879"/>
      <w:bookmarkStart w:id="63" w:name="_Toc31615215"/>
      <w:r w:rsidRPr="004C0C38">
        <w:rPr>
          <w:i w:val="0"/>
        </w:rPr>
        <w:t>Podpis oprávneného zástupcu navrhovateľa</w:t>
      </w:r>
      <w:bookmarkEnd w:id="61"/>
      <w:bookmarkEnd w:id="62"/>
      <w:bookmarkEnd w:id="63"/>
    </w:p>
    <w:p w14:paraId="7374844E" w14:textId="77777777" w:rsidR="007A6CA0" w:rsidRPr="004C0C38" w:rsidRDefault="007A6CA0" w:rsidP="007A6CA0"/>
    <w:p w14:paraId="5804A43D" w14:textId="77777777" w:rsidR="007A6CA0" w:rsidRPr="004C0C38" w:rsidRDefault="007A6CA0" w:rsidP="007A6CA0"/>
    <w:p w14:paraId="451D9466" w14:textId="77777777" w:rsidR="007A6CA0" w:rsidRPr="004C0C38" w:rsidRDefault="007A6CA0" w:rsidP="007A6CA0"/>
    <w:p w14:paraId="1AD2D789" w14:textId="77777777" w:rsidR="007A6CA0" w:rsidRPr="004C0C38" w:rsidRDefault="007A6CA0" w:rsidP="007A6CA0"/>
    <w:p w14:paraId="25A36B61" w14:textId="77777777" w:rsidR="007A6CA0" w:rsidRPr="004C0C38" w:rsidRDefault="007A6CA0" w:rsidP="007A6CA0"/>
    <w:p w14:paraId="095B1C18" w14:textId="77777777" w:rsidR="007A6CA0" w:rsidRPr="004C0C38" w:rsidRDefault="007A6CA0" w:rsidP="004C0C38">
      <w:pPr>
        <w:ind w:left="5103" w:firstLine="708"/>
      </w:pPr>
      <w:r w:rsidRPr="004C0C38">
        <w:t>_________________</w:t>
      </w:r>
    </w:p>
    <w:p w14:paraId="07516C82" w14:textId="77777777" w:rsidR="004C0C38" w:rsidRDefault="004C0C38" w:rsidP="004C0C38">
      <w:pPr>
        <w:ind w:left="5387" w:firstLine="708"/>
      </w:pPr>
      <w:r>
        <w:t xml:space="preserve">Ing. Juraj </w:t>
      </w:r>
      <w:proofErr w:type="spellStart"/>
      <w:r>
        <w:t>Musil</w:t>
      </w:r>
      <w:proofErr w:type="spellEnd"/>
    </w:p>
    <w:p w14:paraId="59BC7C02" w14:textId="77777777" w:rsidR="007A6CA0" w:rsidRPr="004C0C38" w:rsidRDefault="004C0C38" w:rsidP="004C0C38">
      <w:pPr>
        <w:ind w:left="5387" w:firstLine="708"/>
      </w:pPr>
      <w:r>
        <w:t xml:space="preserve">   INECO, s.r.o.</w:t>
      </w:r>
    </w:p>
    <w:p w14:paraId="2EEE4F31" w14:textId="77777777" w:rsidR="007A6CA0" w:rsidRPr="0049271C" w:rsidRDefault="007A6CA0" w:rsidP="004C0C38">
      <w:pPr>
        <w:ind w:left="4956" w:firstLine="431"/>
      </w:pPr>
      <w:r w:rsidRPr="004C0C38">
        <w:t>zástupca na základe plnej moci</w:t>
      </w:r>
    </w:p>
    <w:p w14:paraId="0760C4F3" w14:textId="77777777" w:rsidR="007A6CA0" w:rsidRPr="0049271C" w:rsidRDefault="007A6CA0" w:rsidP="007A6CA0"/>
    <w:p w14:paraId="26704FF5" w14:textId="77777777" w:rsidR="007A6CA0" w:rsidRPr="00E6565A" w:rsidRDefault="007A6CA0" w:rsidP="007A6CA0">
      <w:pPr>
        <w:rPr>
          <w:b/>
        </w:rPr>
      </w:pPr>
    </w:p>
    <w:p w14:paraId="3DB82DE4" w14:textId="77777777" w:rsidR="007A6CA0" w:rsidRDefault="007A6CA0" w:rsidP="00665165">
      <w:bookmarkStart w:id="64" w:name="_GoBack"/>
      <w:bookmarkEnd w:id="64"/>
    </w:p>
    <w:sectPr w:rsidR="007A6CA0" w:rsidSect="00773C5C">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CC95" w14:textId="77777777" w:rsidR="00640CD3" w:rsidRDefault="00640CD3" w:rsidP="00B17AE1">
      <w:r>
        <w:separator/>
      </w:r>
    </w:p>
  </w:endnote>
  <w:endnote w:type="continuationSeparator" w:id="0">
    <w:p w14:paraId="1934331E" w14:textId="77777777" w:rsidR="00640CD3" w:rsidRDefault="00640CD3" w:rsidP="00B1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593"/>
      <w:docPartObj>
        <w:docPartGallery w:val="Page Numbers (Bottom of Page)"/>
        <w:docPartUnique/>
      </w:docPartObj>
    </w:sdtPr>
    <w:sdtEndPr/>
    <w:sdtContent>
      <w:p w14:paraId="0CE4F7AD" w14:textId="77777777" w:rsidR="007C5303" w:rsidRDefault="007C5303">
        <w:pPr>
          <w:pStyle w:val="Pta"/>
          <w:jc w:val="center"/>
        </w:pPr>
        <w:r>
          <w:fldChar w:fldCharType="begin"/>
        </w:r>
        <w:r>
          <w:instrText xml:space="preserve"> PAGE   \* MERGEFORMAT </w:instrText>
        </w:r>
        <w:r>
          <w:fldChar w:fldCharType="separate"/>
        </w:r>
        <w:r>
          <w:rPr>
            <w:noProof/>
          </w:rPr>
          <w:t>33</w:t>
        </w:r>
        <w:r>
          <w:rPr>
            <w:noProof/>
          </w:rPr>
          <w:fldChar w:fldCharType="end"/>
        </w:r>
      </w:p>
    </w:sdtContent>
  </w:sdt>
  <w:p w14:paraId="46FE6451" w14:textId="77777777" w:rsidR="007C5303" w:rsidRDefault="007C53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1693" w14:textId="77777777" w:rsidR="00640CD3" w:rsidRDefault="00640CD3" w:rsidP="00B17AE1">
      <w:r>
        <w:separator/>
      </w:r>
    </w:p>
  </w:footnote>
  <w:footnote w:type="continuationSeparator" w:id="0">
    <w:p w14:paraId="4FCDAF2D" w14:textId="77777777" w:rsidR="00640CD3" w:rsidRDefault="00640CD3" w:rsidP="00B1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158"/>
      <w:gridCol w:w="2452"/>
    </w:tblGrid>
    <w:tr w:rsidR="007C5303" w:rsidRPr="009004D1" w14:paraId="20F5016B" w14:textId="77777777" w:rsidTr="00773C5C">
      <w:trPr>
        <w:cantSplit/>
        <w:trHeight w:val="440"/>
      </w:trPr>
      <w:tc>
        <w:tcPr>
          <w:tcW w:w="9610" w:type="dxa"/>
          <w:gridSpan w:val="2"/>
          <w:tcBorders>
            <w:top w:val="single" w:sz="4" w:space="0" w:color="auto"/>
            <w:left w:val="single" w:sz="4" w:space="0" w:color="auto"/>
            <w:bottom w:val="single" w:sz="4" w:space="0" w:color="auto"/>
            <w:right w:val="single" w:sz="4" w:space="0" w:color="auto"/>
          </w:tcBorders>
          <w:vAlign w:val="center"/>
        </w:tcPr>
        <w:p w14:paraId="4D6E7115" w14:textId="001F7730" w:rsidR="007C5303" w:rsidRPr="003615A1" w:rsidRDefault="007C5303" w:rsidP="00773C5C">
          <w:pPr>
            <w:pStyle w:val="Lit"/>
            <w:spacing w:before="60"/>
            <w:ind w:left="0" w:firstLine="0"/>
            <w:rPr>
              <w:b/>
              <w:smallCaps/>
              <w:sz w:val="24"/>
              <w:szCs w:val="24"/>
            </w:rPr>
          </w:pPr>
          <w:r>
            <w:rPr>
              <w:b/>
              <w:smallCaps/>
              <w:sz w:val="24"/>
              <w:szCs w:val="24"/>
            </w:rPr>
            <w:t xml:space="preserve">Rozšírenie výrobného areálu f. </w:t>
          </w:r>
          <w:proofErr w:type="spellStart"/>
          <w:r>
            <w:rPr>
              <w:b/>
              <w:smallCaps/>
              <w:sz w:val="24"/>
              <w:szCs w:val="24"/>
            </w:rPr>
            <w:t>Tristone</w:t>
          </w:r>
          <w:proofErr w:type="spellEnd"/>
          <w:r>
            <w:rPr>
              <w:b/>
              <w:smallCaps/>
              <w:sz w:val="24"/>
              <w:szCs w:val="24"/>
            </w:rPr>
            <w:t xml:space="preserve"> </w:t>
          </w:r>
          <w:proofErr w:type="spellStart"/>
          <w:r>
            <w:rPr>
              <w:b/>
              <w:smallCaps/>
              <w:sz w:val="24"/>
              <w:szCs w:val="24"/>
            </w:rPr>
            <w:t>Flowtech</w:t>
          </w:r>
          <w:proofErr w:type="spellEnd"/>
          <w:r>
            <w:rPr>
              <w:b/>
              <w:smallCaps/>
              <w:sz w:val="24"/>
              <w:szCs w:val="24"/>
            </w:rPr>
            <w:t xml:space="preserve"> Slovakia s.r.o.</w:t>
          </w:r>
        </w:p>
      </w:tc>
    </w:tr>
    <w:tr w:rsidR="007C5303" w:rsidRPr="009004D1" w14:paraId="7600CF2A" w14:textId="77777777" w:rsidTr="00773C5C">
      <w:trPr>
        <w:cantSplit/>
        <w:trHeight w:val="440"/>
      </w:trPr>
      <w:tc>
        <w:tcPr>
          <w:tcW w:w="7158" w:type="dxa"/>
          <w:tcBorders>
            <w:top w:val="single" w:sz="4" w:space="0" w:color="auto"/>
            <w:left w:val="single" w:sz="4" w:space="0" w:color="auto"/>
            <w:bottom w:val="single" w:sz="4" w:space="0" w:color="auto"/>
            <w:right w:val="single" w:sz="4" w:space="0" w:color="auto"/>
          </w:tcBorders>
          <w:vAlign w:val="center"/>
        </w:tcPr>
        <w:p w14:paraId="72442C4D" w14:textId="77777777" w:rsidR="007C5303" w:rsidRPr="00AF662D" w:rsidRDefault="007C5303" w:rsidP="00D2602E">
          <w:pPr>
            <w:pStyle w:val="Hlavika"/>
            <w:spacing w:before="20" w:after="20"/>
            <w:rPr>
              <w:i/>
              <w:sz w:val="20"/>
              <w:szCs w:val="20"/>
            </w:rPr>
          </w:pPr>
          <w:r w:rsidRPr="00AF662D">
            <w:rPr>
              <w:i/>
              <w:sz w:val="20"/>
              <w:szCs w:val="20"/>
            </w:rPr>
            <w:t>Oznámenie o zmene navrhovanej činnos</w:t>
          </w:r>
          <w:r>
            <w:rPr>
              <w:i/>
              <w:sz w:val="20"/>
              <w:szCs w:val="20"/>
            </w:rPr>
            <w:t>ti vypracované podľa prílohy č. </w:t>
          </w:r>
          <w:r w:rsidRPr="00AF662D">
            <w:rPr>
              <w:i/>
              <w:sz w:val="20"/>
              <w:szCs w:val="20"/>
            </w:rPr>
            <w:t>8a k zákonu č</w:t>
          </w:r>
          <w:r>
            <w:rPr>
              <w:i/>
              <w:sz w:val="20"/>
              <w:szCs w:val="20"/>
            </w:rPr>
            <w:t>. 2</w:t>
          </w:r>
          <w:r w:rsidRPr="00AF662D">
            <w:rPr>
              <w:i/>
              <w:sz w:val="20"/>
              <w:szCs w:val="20"/>
            </w:rPr>
            <w:t>4/2006 Z.z.</w:t>
          </w:r>
          <w:r>
            <w:rPr>
              <w:i/>
              <w:sz w:val="20"/>
              <w:szCs w:val="20"/>
            </w:rPr>
            <w:t xml:space="preserve"> </w:t>
          </w:r>
          <w:r w:rsidRPr="00AF662D">
            <w:rPr>
              <w:i/>
              <w:sz w:val="20"/>
              <w:szCs w:val="20"/>
            </w:rPr>
            <w:t>o posudzovaní vplyvov na životné prostredie</w:t>
          </w:r>
        </w:p>
      </w:tc>
      <w:tc>
        <w:tcPr>
          <w:tcW w:w="2452" w:type="dxa"/>
          <w:tcBorders>
            <w:left w:val="single" w:sz="4" w:space="0" w:color="auto"/>
            <w:bottom w:val="single" w:sz="4" w:space="0" w:color="auto"/>
            <w:right w:val="single" w:sz="4" w:space="0" w:color="auto"/>
          </w:tcBorders>
          <w:vAlign w:val="center"/>
        </w:tcPr>
        <w:p w14:paraId="3C647C49" w14:textId="22551929" w:rsidR="007C5303" w:rsidRPr="00C57F51" w:rsidRDefault="0012283D" w:rsidP="00323199">
          <w:pPr>
            <w:pStyle w:val="Hlavika"/>
            <w:spacing w:before="20" w:after="20"/>
            <w:jc w:val="center"/>
            <w:rPr>
              <w:i/>
              <w:sz w:val="20"/>
            </w:rPr>
          </w:pPr>
          <w:r>
            <w:rPr>
              <w:i/>
              <w:sz w:val="20"/>
            </w:rPr>
            <w:t>február</w:t>
          </w:r>
          <w:r w:rsidR="007C5303">
            <w:rPr>
              <w:i/>
              <w:sz w:val="20"/>
            </w:rPr>
            <w:t xml:space="preserve"> </w:t>
          </w:r>
          <w:r w:rsidR="007C5303" w:rsidRPr="00C57F51">
            <w:rPr>
              <w:i/>
              <w:sz w:val="20"/>
            </w:rPr>
            <w:t>20</w:t>
          </w:r>
          <w:r w:rsidR="007C5303">
            <w:rPr>
              <w:i/>
              <w:sz w:val="20"/>
            </w:rPr>
            <w:t>20</w:t>
          </w:r>
        </w:p>
      </w:tc>
    </w:tr>
  </w:tbl>
  <w:p w14:paraId="18186583" w14:textId="77777777" w:rsidR="007C5303" w:rsidRDefault="007C530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8AB"/>
    <w:multiLevelType w:val="hybridMultilevel"/>
    <w:tmpl w:val="2AB4BB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BE87A77"/>
    <w:multiLevelType w:val="hybridMultilevel"/>
    <w:tmpl w:val="98FC7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23900"/>
    <w:multiLevelType w:val="hybridMultilevel"/>
    <w:tmpl w:val="D35E6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4E0D78"/>
    <w:multiLevelType w:val="multilevel"/>
    <w:tmpl w:val="FEC68C0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95B7E17"/>
    <w:multiLevelType w:val="hybridMultilevel"/>
    <w:tmpl w:val="F7448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E93975"/>
    <w:multiLevelType w:val="hybridMultilevel"/>
    <w:tmpl w:val="F84E88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DC3100"/>
    <w:multiLevelType w:val="hybridMultilevel"/>
    <w:tmpl w:val="9192FB2E"/>
    <w:lvl w:ilvl="0" w:tplc="6B30A9B2">
      <w:start w:val="1"/>
      <w:numFmt w:val="bullet"/>
      <w:lvlText w:val=""/>
      <w:lvlJc w:val="left"/>
      <w:pPr>
        <w:ind w:left="784" w:hanging="360"/>
      </w:pPr>
      <w:rPr>
        <w:rFonts w:ascii="Symbol" w:hAnsi="Symbol" w:hint="default"/>
      </w:rPr>
    </w:lvl>
    <w:lvl w:ilvl="1" w:tplc="041B0003" w:tentative="1">
      <w:start w:val="1"/>
      <w:numFmt w:val="bullet"/>
      <w:lvlText w:val="o"/>
      <w:lvlJc w:val="left"/>
      <w:pPr>
        <w:ind w:left="1504" w:hanging="360"/>
      </w:pPr>
      <w:rPr>
        <w:rFonts w:ascii="Courier New" w:hAnsi="Courier New" w:cs="Courier New" w:hint="default"/>
      </w:rPr>
    </w:lvl>
    <w:lvl w:ilvl="2" w:tplc="041B0005" w:tentative="1">
      <w:start w:val="1"/>
      <w:numFmt w:val="bullet"/>
      <w:lvlText w:val=""/>
      <w:lvlJc w:val="left"/>
      <w:pPr>
        <w:ind w:left="2224" w:hanging="360"/>
      </w:pPr>
      <w:rPr>
        <w:rFonts w:ascii="Wingdings" w:hAnsi="Wingdings" w:hint="default"/>
      </w:rPr>
    </w:lvl>
    <w:lvl w:ilvl="3" w:tplc="041B0001" w:tentative="1">
      <w:start w:val="1"/>
      <w:numFmt w:val="bullet"/>
      <w:lvlText w:val=""/>
      <w:lvlJc w:val="left"/>
      <w:pPr>
        <w:ind w:left="2944" w:hanging="360"/>
      </w:pPr>
      <w:rPr>
        <w:rFonts w:ascii="Symbol" w:hAnsi="Symbol" w:hint="default"/>
      </w:rPr>
    </w:lvl>
    <w:lvl w:ilvl="4" w:tplc="041B0003" w:tentative="1">
      <w:start w:val="1"/>
      <w:numFmt w:val="bullet"/>
      <w:lvlText w:val="o"/>
      <w:lvlJc w:val="left"/>
      <w:pPr>
        <w:ind w:left="3664" w:hanging="360"/>
      </w:pPr>
      <w:rPr>
        <w:rFonts w:ascii="Courier New" w:hAnsi="Courier New" w:cs="Courier New" w:hint="default"/>
      </w:rPr>
    </w:lvl>
    <w:lvl w:ilvl="5" w:tplc="041B0005" w:tentative="1">
      <w:start w:val="1"/>
      <w:numFmt w:val="bullet"/>
      <w:lvlText w:val=""/>
      <w:lvlJc w:val="left"/>
      <w:pPr>
        <w:ind w:left="4384" w:hanging="360"/>
      </w:pPr>
      <w:rPr>
        <w:rFonts w:ascii="Wingdings" w:hAnsi="Wingdings" w:hint="default"/>
      </w:rPr>
    </w:lvl>
    <w:lvl w:ilvl="6" w:tplc="041B0001" w:tentative="1">
      <w:start w:val="1"/>
      <w:numFmt w:val="bullet"/>
      <w:lvlText w:val=""/>
      <w:lvlJc w:val="left"/>
      <w:pPr>
        <w:ind w:left="5104" w:hanging="360"/>
      </w:pPr>
      <w:rPr>
        <w:rFonts w:ascii="Symbol" w:hAnsi="Symbol" w:hint="default"/>
      </w:rPr>
    </w:lvl>
    <w:lvl w:ilvl="7" w:tplc="041B0003" w:tentative="1">
      <w:start w:val="1"/>
      <w:numFmt w:val="bullet"/>
      <w:lvlText w:val="o"/>
      <w:lvlJc w:val="left"/>
      <w:pPr>
        <w:ind w:left="5824" w:hanging="360"/>
      </w:pPr>
      <w:rPr>
        <w:rFonts w:ascii="Courier New" w:hAnsi="Courier New" w:cs="Courier New" w:hint="default"/>
      </w:rPr>
    </w:lvl>
    <w:lvl w:ilvl="8" w:tplc="041B0005" w:tentative="1">
      <w:start w:val="1"/>
      <w:numFmt w:val="bullet"/>
      <w:lvlText w:val=""/>
      <w:lvlJc w:val="left"/>
      <w:pPr>
        <w:ind w:left="6544" w:hanging="360"/>
      </w:pPr>
      <w:rPr>
        <w:rFonts w:ascii="Wingdings" w:hAnsi="Wingdings" w:hint="default"/>
      </w:rPr>
    </w:lvl>
  </w:abstractNum>
  <w:abstractNum w:abstractNumId="7" w15:restartNumberingAfterBreak="0">
    <w:nsid w:val="24F216EC"/>
    <w:multiLevelType w:val="hybridMultilevel"/>
    <w:tmpl w:val="9F284EDA"/>
    <w:lvl w:ilvl="0" w:tplc="766C835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874BEE"/>
    <w:multiLevelType w:val="hybridMultilevel"/>
    <w:tmpl w:val="412A5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1A5FF0"/>
    <w:multiLevelType w:val="hybridMultilevel"/>
    <w:tmpl w:val="1AF44CD8"/>
    <w:lvl w:ilvl="0" w:tplc="D1C043EC">
      <w:start w:val="1"/>
      <w:numFmt w:val="upperRoman"/>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AAB2C8D"/>
    <w:multiLevelType w:val="hybridMultilevel"/>
    <w:tmpl w:val="912CB70C"/>
    <w:lvl w:ilvl="0" w:tplc="B1CA20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D53F8E"/>
    <w:multiLevelType w:val="hybridMultilevel"/>
    <w:tmpl w:val="B322A2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5E24AF2"/>
    <w:multiLevelType w:val="hybridMultilevel"/>
    <w:tmpl w:val="E5322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FF1082"/>
    <w:multiLevelType w:val="hybridMultilevel"/>
    <w:tmpl w:val="0582A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6C4CEB"/>
    <w:multiLevelType w:val="multilevel"/>
    <w:tmpl w:val="C7B87B30"/>
    <w:lvl w:ilvl="0">
      <w:start w:val="5"/>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053A6F"/>
    <w:multiLevelType w:val="hybridMultilevel"/>
    <w:tmpl w:val="2B9EC4FA"/>
    <w:lvl w:ilvl="0" w:tplc="B1CA2044">
      <w:start w:val="1"/>
      <w:numFmt w:val="decimal"/>
      <w:lvlText w:val="%1."/>
      <w:lvlJc w:val="left"/>
      <w:pPr>
        <w:tabs>
          <w:tab w:val="num" w:pos="1069"/>
        </w:tabs>
        <w:ind w:left="1069" w:hanging="709"/>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2F6A96"/>
    <w:multiLevelType w:val="hybridMultilevel"/>
    <w:tmpl w:val="61A43404"/>
    <w:lvl w:ilvl="0" w:tplc="C47429F0">
      <w:numFmt w:val="bullet"/>
      <w:lvlText w:val="•"/>
      <w:lvlJc w:val="left"/>
      <w:pPr>
        <w:ind w:left="1413" w:hanging="705"/>
      </w:pPr>
      <w:rPr>
        <w:rFonts w:ascii="Times New Roman" w:eastAsia="Calibri" w:hAnsi="Times New Roman" w:cs="Times New Roman" w:hint="default"/>
        <w:color w:val="000000" w:themeColor="text1"/>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56BD4987"/>
    <w:multiLevelType w:val="hybridMultilevel"/>
    <w:tmpl w:val="E8AA6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3C2F4D"/>
    <w:multiLevelType w:val="hybridMultilevel"/>
    <w:tmpl w:val="15EA3A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84679C"/>
    <w:multiLevelType w:val="hybridMultilevel"/>
    <w:tmpl w:val="3822D66C"/>
    <w:lvl w:ilvl="0" w:tplc="041B0005">
      <w:start w:val="1"/>
      <w:numFmt w:val="bullet"/>
      <w:lvlText w:val=""/>
      <w:lvlJc w:val="left"/>
      <w:pPr>
        <w:tabs>
          <w:tab w:val="num" w:pos="360"/>
        </w:tabs>
        <w:ind w:left="360" w:hanging="360"/>
      </w:pPr>
      <w:rPr>
        <w:rFonts w:ascii="Wingdings" w:hAnsi="Wingdings"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start w:val="1"/>
      <w:numFmt w:val="bullet"/>
      <w:lvlText w:val=""/>
      <w:lvlJc w:val="left"/>
      <w:pPr>
        <w:tabs>
          <w:tab w:val="num" w:pos="1800"/>
        </w:tabs>
        <w:ind w:left="1800" w:hanging="360"/>
      </w:pPr>
      <w:rPr>
        <w:rFonts w:ascii="Wingdings" w:hAnsi="Wingdings" w:cs="Wingdings" w:hint="default"/>
      </w:rPr>
    </w:lvl>
    <w:lvl w:ilvl="3" w:tplc="0C070001">
      <w:start w:val="1"/>
      <w:numFmt w:val="bullet"/>
      <w:lvlText w:val=""/>
      <w:lvlJc w:val="left"/>
      <w:pPr>
        <w:tabs>
          <w:tab w:val="num" w:pos="2520"/>
        </w:tabs>
        <w:ind w:left="2520" w:hanging="360"/>
      </w:pPr>
      <w:rPr>
        <w:rFonts w:ascii="Symbol" w:hAnsi="Symbol" w:cs="Symbol" w:hint="default"/>
      </w:rPr>
    </w:lvl>
    <w:lvl w:ilvl="4" w:tplc="0C070003">
      <w:start w:val="1"/>
      <w:numFmt w:val="bullet"/>
      <w:lvlText w:val="o"/>
      <w:lvlJc w:val="left"/>
      <w:pPr>
        <w:tabs>
          <w:tab w:val="num" w:pos="3240"/>
        </w:tabs>
        <w:ind w:left="3240" w:hanging="360"/>
      </w:pPr>
      <w:rPr>
        <w:rFonts w:ascii="Courier New" w:hAnsi="Courier New" w:cs="Courier New" w:hint="default"/>
      </w:rPr>
    </w:lvl>
    <w:lvl w:ilvl="5" w:tplc="0C070005">
      <w:start w:val="1"/>
      <w:numFmt w:val="bullet"/>
      <w:lvlText w:val=""/>
      <w:lvlJc w:val="left"/>
      <w:pPr>
        <w:tabs>
          <w:tab w:val="num" w:pos="3960"/>
        </w:tabs>
        <w:ind w:left="3960" w:hanging="360"/>
      </w:pPr>
      <w:rPr>
        <w:rFonts w:ascii="Wingdings" w:hAnsi="Wingdings" w:cs="Wingdings" w:hint="default"/>
      </w:rPr>
    </w:lvl>
    <w:lvl w:ilvl="6" w:tplc="0C070001">
      <w:start w:val="1"/>
      <w:numFmt w:val="bullet"/>
      <w:lvlText w:val=""/>
      <w:lvlJc w:val="left"/>
      <w:pPr>
        <w:tabs>
          <w:tab w:val="num" w:pos="4680"/>
        </w:tabs>
        <w:ind w:left="4680" w:hanging="360"/>
      </w:pPr>
      <w:rPr>
        <w:rFonts w:ascii="Symbol" w:hAnsi="Symbol" w:cs="Symbol" w:hint="default"/>
      </w:rPr>
    </w:lvl>
    <w:lvl w:ilvl="7" w:tplc="0C070003">
      <w:start w:val="1"/>
      <w:numFmt w:val="bullet"/>
      <w:lvlText w:val="o"/>
      <w:lvlJc w:val="left"/>
      <w:pPr>
        <w:tabs>
          <w:tab w:val="num" w:pos="5400"/>
        </w:tabs>
        <w:ind w:left="5400" w:hanging="360"/>
      </w:pPr>
      <w:rPr>
        <w:rFonts w:ascii="Courier New" w:hAnsi="Courier New" w:cs="Courier New" w:hint="default"/>
      </w:rPr>
    </w:lvl>
    <w:lvl w:ilvl="8" w:tplc="0C07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7347064"/>
    <w:multiLevelType w:val="hybridMultilevel"/>
    <w:tmpl w:val="1E0E7A4E"/>
    <w:lvl w:ilvl="0" w:tplc="EE220C42">
      <w:start w:val="1"/>
      <w:numFmt w:val="bullet"/>
      <w:lvlText w:val=""/>
      <w:lvlJc w:val="left"/>
      <w:pPr>
        <w:ind w:left="720" w:hanging="360"/>
      </w:pPr>
      <w:rPr>
        <w:rFonts w:ascii="Symbol" w:hAnsi="Symbol" w:hint="default"/>
      </w:rPr>
    </w:lvl>
    <w:lvl w:ilvl="1" w:tplc="963AA99E">
      <w:start w:val="1"/>
      <w:numFmt w:val="bullet"/>
      <w:lvlText w:val="o"/>
      <w:lvlJc w:val="left"/>
      <w:pPr>
        <w:ind w:left="1440" w:hanging="360"/>
      </w:pPr>
      <w:rPr>
        <w:rFonts w:ascii="Courier New" w:hAnsi="Courier New" w:cs="Courier New" w:hint="default"/>
      </w:rPr>
    </w:lvl>
    <w:lvl w:ilvl="2" w:tplc="9D100F98">
      <w:start w:val="1"/>
      <w:numFmt w:val="bullet"/>
      <w:lvlText w:val=""/>
      <w:lvlJc w:val="left"/>
      <w:pPr>
        <w:ind w:left="2160" w:hanging="360"/>
      </w:pPr>
      <w:rPr>
        <w:rFonts w:ascii="Wingdings" w:hAnsi="Wingdings" w:hint="default"/>
      </w:rPr>
    </w:lvl>
    <w:lvl w:ilvl="3" w:tplc="868A06FE">
      <w:start w:val="1"/>
      <w:numFmt w:val="bullet"/>
      <w:lvlText w:val=""/>
      <w:lvlJc w:val="left"/>
      <w:pPr>
        <w:ind w:left="2880" w:hanging="360"/>
      </w:pPr>
      <w:rPr>
        <w:rFonts w:ascii="Symbol" w:hAnsi="Symbol" w:hint="default"/>
      </w:rPr>
    </w:lvl>
    <w:lvl w:ilvl="4" w:tplc="87FC41C4">
      <w:start w:val="1"/>
      <w:numFmt w:val="bullet"/>
      <w:lvlText w:val="o"/>
      <w:lvlJc w:val="left"/>
      <w:pPr>
        <w:ind w:left="3600" w:hanging="360"/>
      </w:pPr>
      <w:rPr>
        <w:rFonts w:ascii="Courier New" w:hAnsi="Courier New" w:cs="Courier New" w:hint="default"/>
      </w:rPr>
    </w:lvl>
    <w:lvl w:ilvl="5" w:tplc="6B0C415A">
      <w:start w:val="1"/>
      <w:numFmt w:val="bullet"/>
      <w:lvlText w:val=""/>
      <w:lvlJc w:val="left"/>
      <w:pPr>
        <w:ind w:left="4320" w:hanging="360"/>
      </w:pPr>
      <w:rPr>
        <w:rFonts w:ascii="Wingdings" w:hAnsi="Wingdings" w:hint="default"/>
      </w:rPr>
    </w:lvl>
    <w:lvl w:ilvl="6" w:tplc="A07AEF74">
      <w:start w:val="1"/>
      <w:numFmt w:val="bullet"/>
      <w:lvlText w:val=""/>
      <w:lvlJc w:val="left"/>
      <w:pPr>
        <w:ind w:left="5040" w:hanging="360"/>
      </w:pPr>
      <w:rPr>
        <w:rFonts w:ascii="Symbol" w:hAnsi="Symbol" w:hint="default"/>
      </w:rPr>
    </w:lvl>
    <w:lvl w:ilvl="7" w:tplc="EC9A7D4A">
      <w:start w:val="1"/>
      <w:numFmt w:val="bullet"/>
      <w:lvlText w:val="o"/>
      <w:lvlJc w:val="left"/>
      <w:pPr>
        <w:ind w:left="5760" w:hanging="360"/>
      </w:pPr>
      <w:rPr>
        <w:rFonts w:ascii="Courier New" w:hAnsi="Courier New" w:cs="Courier New" w:hint="default"/>
      </w:rPr>
    </w:lvl>
    <w:lvl w:ilvl="8" w:tplc="FB0A66A0">
      <w:start w:val="1"/>
      <w:numFmt w:val="bullet"/>
      <w:lvlText w:val=""/>
      <w:lvlJc w:val="left"/>
      <w:pPr>
        <w:ind w:left="6480" w:hanging="360"/>
      </w:pPr>
      <w:rPr>
        <w:rFonts w:ascii="Wingdings" w:hAnsi="Wingdings" w:hint="default"/>
      </w:rPr>
    </w:lvl>
  </w:abstractNum>
  <w:abstractNum w:abstractNumId="21" w15:restartNumberingAfterBreak="0">
    <w:nsid w:val="67976947"/>
    <w:multiLevelType w:val="hybridMultilevel"/>
    <w:tmpl w:val="2EF24E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6876441A"/>
    <w:multiLevelType w:val="hybridMultilevel"/>
    <w:tmpl w:val="9BDE4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167C15"/>
    <w:multiLevelType w:val="hybridMultilevel"/>
    <w:tmpl w:val="BC14E4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AC409D"/>
    <w:multiLevelType w:val="hybridMultilevel"/>
    <w:tmpl w:val="101A3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1420C6"/>
    <w:multiLevelType w:val="hybridMultilevel"/>
    <w:tmpl w:val="F8B62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595D5E"/>
    <w:multiLevelType w:val="hybridMultilevel"/>
    <w:tmpl w:val="427290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734D2531"/>
    <w:multiLevelType w:val="hybridMultilevel"/>
    <w:tmpl w:val="128A9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6C6E87"/>
    <w:multiLevelType w:val="hybridMultilevel"/>
    <w:tmpl w:val="98F6A3DE"/>
    <w:lvl w:ilvl="0" w:tplc="82D2428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D7623E"/>
    <w:multiLevelType w:val="hybridMultilevel"/>
    <w:tmpl w:val="3C143B2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CE95868"/>
    <w:multiLevelType w:val="hybridMultilevel"/>
    <w:tmpl w:val="50F68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8C0B18"/>
    <w:multiLevelType w:val="hybridMultilevel"/>
    <w:tmpl w:val="A0C65710"/>
    <w:lvl w:ilvl="0" w:tplc="8870CB1E">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D52A4"/>
    <w:multiLevelType w:val="hybridMultilevel"/>
    <w:tmpl w:val="3510EC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21"/>
  </w:num>
  <w:num w:numId="5">
    <w:abstractNumId w:val="0"/>
  </w:num>
  <w:num w:numId="6">
    <w:abstractNumId w:val="10"/>
  </w:num>
  <w:num w:numId="7">
    <w:abstractNumId w:val="28"/>
  </w:num>
  <w:num w:numId="8">
    <w:abstractNumId w:val="14"/>
  </w:num>
  <w:num w:numId="9">
    <w:abstractNumId w:val="15"/>
  </w:num>
  <w:num w:numId="10">
    <w:abstractNumId w:val="2"/>
  </w:num>
  <w:num w:numId="11">
    <w:abstractNumId w:val="1"/>
  </w:num>
  <w:num w:numId="12">
    <w:abstractNumId w:val="19"/>
  </w:num>
  <w:num w:numId="13">
    <w:abstractNumId w:val="24"/>
  </w:num>
  <w:num w:numId="14">
    <w:abstractNumId w:val="27"/>
  </w:num>
  <w:num w:numId="15">
    <w:abstractNumId w:val="4"/>
  </w:num>
  <w:num w:numId="16">
    <w:abstractNumId w:val="11"/>
  </w:num>
  <w:num w:numId="17">
    <w:abstractNumId w:val="5"/>
  </w:num>
  <w:num w:numId="18">
    <w:abstractNumId w:val="25"/>
  </w:num>
  <w:num w:numId="19">
    <w:abstractNumId w:val="31"/>
  </w:num>
  <w:num w:numId="20">
    <w:abstractNumId w:val="20"/>
  </w:num>
  <w:num w:numId="21">
    <w:abstractNumId w:val="32"/>
  </w:num>
  <w:num w:numId="22">
    <w:abstractNumId w:val="26"/>
  </w:num>
  <w:num w:numId="23">
    <w:abstractNumId w:val="7"/>
  </w:num>
  <w:num w:numId="24">
    <w:abstractNumId w:val="30"/>
  </w:num>
  <w:num w:numId="25">
    <w:abstractNumId w:val="8"/>
  </w:num>
  <w:num w:numId="26">
    <w:abstractNumId w:val="17"/>
  </w:num>
  <w:num w:numId="27">
    <w:abstractNumId w:val="29"/>
  </w:num>
  <w:num w:numId="28">
    <w:abstractNumId w:val="12"/>
  </w:num>
  <w:num w:numId="29">
    <w:abstractNumId w:val="6"/>
  </w:num>
  <w:num w:numId="30">
    <w:abstractNumId w:val="3"/>
  </w:num>
  <w:num w:numId="31">
    <w:abstractNumId w:val="13"/>
  </w:num>
  <w:num w:numId="32">
    <w:abstractNumId w:val="16"/>
  </w:num>
  <w:num w:numId="3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E1E"/>
    <w:rsid w:val="00015346"/>
    <w:rsid w:val="000303CA"/>
    <w:rsid w:val="00033492"/>
    <w:rsid w:val="00037F9F"/>
    <w:rsid w:val="00042DDB"/>
    <w:rsid w:val="0004397F"/>
    <w:rsid w:val="000452BD"/>
    <w:rsid w:val="00047F4D"/>
    <w:rsid w:val="000533E3"/>
    <w:rsid w:val="00061F80"/>
    <w:rsid w:val="000745A4"/>
    <w:rsid w:val="00077DDA"/>
    <w:rsid w:val="00083697"/>
    <w:rsid w:val="00090891"/>
    <w:rsid w:val="00096356"/>
    <w:rsid w:val="000A471E"/>
    <w:rsid w:val="000B25A4"/>
    <w:rsid w:val="000B5E59"/>
    <w:rsid w:val="000B75BC"/>
    <w:rsid w:val="000C0F06"/>
    <w:rsid w:val="000C105F"/>
    <w:rsid w:val="000C17EB"/>
    <w:rsid w:val="000C59E0"/>
    <w:rsid w:val="000C6E6B"/>
    <w:rsid w:val="000C6E74"/>
    <w:rsid w:val="000E64C5"/>
    <w:rsid w:val="00101868"/>
    <w:rsid w:val="00104787"/>
    <w:rsid w:val="001069A9"/>
    <w:rsid w:val="00110721"/>
    <w:rsid w:val="00113A12"/>
    <w:rsid w:val="00113E3C"/>
    <w:rsid w:val="001157C9"/>
    <w:rsid w:val="00121982"/>
    <w:rsid w:val="0012283D"/>
    <w:rsid w:val="001248F7"/>
    <w:rsid w:val="00127367"/>
    <w:rsid w:val="00130199"/>
    <w:rsid w:val="00133F5C"/>
    <w:rsid w:val="00141853"/>
    <w:rsid w:val="001463C3"/>
    <w:rsid w:val="001847DB"/>
    <w:rsid w:val="00187190"/>
    <w:rsid w:val="00192080"/>
    <w:rsid w:val="0019704F"/>
    <w:rsid w:val="001978E8"/>
    <w:rsid w:val="001A0A6D"/>
    <w:rsid w:val="001A4A45"/>
    <w:rsid w:val="001A5867"/>
    <w:rsid w:val="001C63A5"/>
    <w:rsid w:val="001C7293"/>
    <w:rsid w:val="001D4A68"/>
    <w:rsid w:val="001D4BED"/>
    <w:rsid w:val="001E1375"/>
    <w:rsid w:val="001E7A27"/>
    <w:rsid w:val="001F6A71"/>
    <w:rsid w:val="00200A6A"/>
    <w:rsid w:val="0020297E"/>
    <w:rsid w:val="00211EF2"/>
    <w:rsid w:val="00226008"/>
    <w:rsid w:val="00235C0E"/>
    <w:rsid w:val="00235D39"/>
    <w:rsid w:val="00242A58"/>
    <w:rsid w:val="00244487"/>
    <w:rsid w:val="002470C1"/>
    <w:rsid w:val="00247E23"/>
    <w:rsid w:val="00262ECA"/>
    <w:rsid w:val="002645FE"/>
    <w:rsid w:val="002724C5"/>
    <w:rsid w:val="00277123"/>
    <w:rsid w:val="00277245"/>
    <w:rsid w:val="00277546"/>
    <w:rsid w:val="002807F5"/>
    <w:rsid w:val="00286CA2"/>
    <w:rsid w:val="002B6C0C"/>
    <w:rsid w:val="002C4015"/>
    <w:rsid w:val="002D3338"/>
    <w:rsid w:val="002D4B78"/>
    <w:rsid w:val="002E278A"/>
    <w:rsid w:val="002E717D"/>
    <w:rsid w:val="002F101D"/>
    <w:rsid w:val="002F4048"/>
    <w:rsid w:val="00304320"/>
    <w:rsid w:val="0031074D"/>
    <w:rsid w:val="00310EAB"/>
    <w:rsid w:val="003167CF"/>
    <w:rsid w:val="00316DDB"/>
    <w:rsid w:val="00323199"/>
    <w:rsid w:val="00324DAA"/>
    <w:rsid w:val="003262A6"/>
    <w:rsid w:val="00330B49"/>
    <w:rsid w:val="00335401"/>
    <w:rsid w:val="00335590"/>
    <w:rsid w:val="003416CC"/>
    <w:rsid w:val="00343C76"/>
    <w:rsid w:val="003448EF"/>
    <w:rsid w:val="00344E77"/>
    <w:rsid w:val="00346543"/>
    <w:rsid w:val="003466AF"/>
    <w:rsid w:val="0034795F"/>
    <w:rsid w:val="00352950"/>
    <w:rsid w:val="00353389"/>
    <w:rsid w:val="003543AA"/>
    <w:rsid w:val="00367D9A"/>
    <w:rsid w:val="00374D32"/>
    <w:rsid w:val="003751D4"/>
    <w:rsid w:val="0037602C"/>
    <w:rsid w:val="0037624B"/>
    <w:rsid w:val="003815C7"/>
    <w:rsid w:val="00382294"/>
    <w:rsid w:val="00384306"/>
    <w:rsid w:val="00384698"/>
    <w:rsid w:val="00386026"/>
    <w:rsid w:val="003869E9"/>
    <w:rsid w:val="00391084"/>
    <w:rsid w:val="003965EF"/>
    <w:rsid w:val="003A18B2"/>
    <w:rsid w:val="003A4007"/>
    <w:rsid w:val="003A4474"/>
    <w:rsid w:val="003B3D32"/>
    <w:rsid w:val="003B3D7A"/>
    <w:rsid w:val="003B48A9"/>
    <w:rsid w:val="003C3F63"/>
    <w:rsid w:val="003C4E30"/>
    <w:rsid w:val="003C63BA"/>
    <w:rsid w:val="003C655F"/>
    <w:rsid w:val="003D187D"/>
    <w:rsid w:val="003D4B76"/>
    <w:rsid w:val="003E1704"/>
    <w:rsid w:val="003E170C"/>
    <w:rsid w:val="003E7AD4"/>
    <w:rsid w:val="003F7C45"/>
    <w:rsid w:val="004013F1"/>
    <w:rsid w:val="0040245E"/>
    <w:rsid w:val="0040403B"/>
    <w:rsid w:val="00413A18"/>
    <w:rsid w:val="00425FC1"/>
    <w:rsid w:val="004414A5"/>
    <w:rsid w:val="00445BA6"/>
    <w:rsid w:val="0045101F"/>
    <w:rsid w:val="00456EFD"/>
    <w:rsid w:val="00461C04"/>
    <w:rsid w:val="004629D0"/>
    <w:rsid w:val="00466041"/>
    <w:rsid w:val="0046609F"/>
    <w:rsid w:val="00466B3B"/>
    <w:rsid w:val="0046749F"/>
    <w:rsid w:val="00467FCC"/>
    <w:rsid w:val="00471293"/>
    <w:rsid w:val="00473219"/>
    <w:rsid w:val="00483053"/>
    <w:rsid w:val="00486D49"/>
    <w:rsid w:val="00492D08"/>
    <w:rsid w:val="004A2002"/>
    <w:rsid w:val="004A2F27"/>
    <w:rsid w:val="004A45D4"/>
    <w:rsid w:val="004A4A7F"/>
    <w:rsid w:val="004A6259"/>
    <w:rsid w:val="004B08A0"/>
    <w:rsid w:val="004C0090"/>
    <w:rsid w:val="004C0C38"/>
    <w:rsid w:val="004C19F7"/>
    <w:rsid w:val="004C3098"/>
    <w:rsid w:val="004C4160"/>
    <w:rsid w:val="004C49F0"/>
    <w:rsid w:val="004D3D1E"/>
    <w:rsid w:val="004D7721"/>
    <w:rsid w:val="004E0BEF"/>
    <w:rsid w:val="004E607C"/>
    <w:rsid w:val="00505BF7"/>
    <w:rsid w:val="00505DB7"/>
    <w:rsid w:val="00525C49"/>
    <w:rsid w:val="00526DA5"/>
    <w:rsid w:val="005336C4"/>
    <w:rsid w:val="0054158F"/>
    <w:rsid w:val="00541D67"/>
    <w:rsid w:val="0055247F"/>
    <w:rsid w:val="005553D7"/>
    <w:rsid w:val="005714F7"/>
    <w:rsid w:val="005756DA"/>
    <w:rsid w:val="0058453C"/>
    <w:rsid w:val="005871C3"/>
    <w:rsid w:val="0058772D"/>
    <w:rsid w:val="005A093A"/>
    <w:rsid w:val="005A2EE1"/>
    <w:rsid w:val="005A3388"/>
    <w:rsid w:val="005A50C1"/>
    <w:rsid w:val="005B3684"/>
    <w:rsid w:val="005C0D95"/>
    <w:rsid w:val="005C2B90"/>
    <w:rsid w:val="005C7B0B"/>
    <w:rsid w:val="005D0912"/>
    <w:rsid w:val="005D3541"/>
    <w:rsid w:val="005D3ADF"/>
    <w:rsid w:val="005D5778"/>
    <w:rsid w:val="005E3B23"/>
    <w:rsid w:val="005E3DED"/>
    <w:rsid w:val="005F05D3"/>
    <w:rsid w:val="005F1CF0"/>
    <w:rsid w:val="005F29A9"/>
    <w:rsid w:val="005F2F85"/>
    <w:rsid w:val="006015F3"/>
    <w:rsid w:val="00602616"/>
    <w:rsid w:val="00606C53"/>
    <w:rsid w:val="00606EB1"/>
    <w:rsid w:val="006079BC"/>
    <w:rsid w:val="00612DAB"/>
    <w:rsid w:val="00612F05"/>
    <w:rsid w:val="006148A0"/>
    <w:rsid w:val="00614F2F"/>
    <w:rsid w:val="00623F37"/>
    <w:rsid w:val="0062439F"/>
    <w:rsid w:val="006273E1"/>
    <w:rsid w:val="0063059E"/>
    <w:rsid w:val="00633A07"/>
    <w:rsid w:val="00637996"/>
    <w:rsid w:val="00640CD3"/>
    <w:rsid w:val="00644171"/>
    <w:rsid w:val="00645F7A"/>
    <w:rsid w:val="00646379"/>
    <w:rsid w:val="00647D74"/>
    <w:rsid w:val="0065286D"/>
    <w:rsid w:val="00652AEE"/>
    <w:rsid w:val="00665165"/>
    <w:rsid w:val="00674FFC"/>
    <w:rsid w:val="006818B8"/>
    <w:rsid w:val="006853FD"/>
    <w:rsid w:val="00694E93"/>
    <w:rsid w:val="00695B85"/>
    <w:rsid w:val="006A0C1C"/>
    <w:rsid w:val="006B08EF"/>
    <w:rsid w:val="006C3C86"/>
    <w:rsid w:val="006C488C"/>
    <w:rsid w:val="006C5578"/>
    <w:rsid w:val="006D2077"/>
    <w:rsid w:val="006D4C70"/>
    <w:rsid w:val="006E17D5"/>
    <w:rsid w:val="006E28A0"/>
    <w:rsid w:val="006E3E4A"/>
    <w:rsid w:val="006F1C72"/>
    <w:rsid w:val="006F3ADA"/>
    <w:rsid w:val="006F3FFF"/>
    <w:rsid w:val="006F5D40"/>
    <w:rsid w:val="00706A90"/>
    <w:rsid w:val="00710891"/>
    <w:rsid w:val="00712CA4"/>
    <w:rsid w:val="00712CE7"/>
    <w:rsid w:val="007140AA"/>
    <w:rsid w:val="007163C6"/>
    <w:rsid w:val="00717278"/>
    <w:rsid w:val="007321B0"/>
    <w:rsid w:val="007406DB"/>
    <w:rsid w:val="00741B47"/>
    <w:rsid w:val="00741EA5"/>
    <w:rsid w:val="0074549C"/>
    <w:rsid w:val="007549A1"/>
    <w:rsid w:val="007562F8"/>
    <w:rsid w:val="00756CE4"/>
    <w:rsid w:val="0076595F"/>
    <w:rsid w:val="00773C5C"/>
    <w:rsid w:val="00775BDF"/>
    <w:rsid w:val="00780F73"/>
    <w:rsid w:val="0078233C"/>
    <w:rsid w:val="007867DF"/>
    <w:rsid w:val="00794746"/>
    <w:rsid w:val="007A27E0"/>
    <w:rsid w:val="007A6CA0"/>
    <w:rsid w:val="007B2476"/>
    <w:rsid w:val="007C09A4"/>
    <w:rsid w:val="007C1D38"/>
    <w:rsid w:val="007C1DFE"/>
    <w:rsid w:val="007C5303"/>
    <w:rsid w:val="007D140F"/>
    <w:rsid w:val="007D438B"/>
    <w:rsid w:val="007E00C0"/>
    <w:rsid w:val="007E1F8E"/>
    <w:rsid w:val="007F1BE2"/>
    <w:rsid w:val="007F1C50"/>
    <w:rsid w:val="008034C0"/>
    <w:rsid w:val="0081053A"/>
    <w:rsid w:val="008158E5"/>
    <w:rsid w:val="00817ACE"/>
    <w:rsid w:val="00820741"/>
    <w:rsid w:val="00824A82"/>
    <w:rsid w:val="00853716"/>
    <w:rsid w:val="00854741"/>
    <w:rsid w:val="00863818"/>
    <w:rsid w:val="008647CC"/>
    <w:rsid w:val="008654B4"/>
    <w:rsid w:val="00874759"/>
    <w:rsid w:val="00875494"/>
    <w:rsid w:val="00877638"/>
    <w:rsid w:val="00877AF5"/>
    <w:rsid w:val="008816C3"/>
    <w:rsid w:val="00885836"/>
    <w:rsid w:val="00886870"/>
    <w:rsid w:val="00892E4F"/>
    <w:rsid w:val="00894FF9"/>
    <w:rsid w:val="0089735D"/>
    <w:rsid w:val="008A0A26"/>
    <w:rsid w:val="008A1FC2"/>
    <w:rsid w:val="008A22B8"/>
    <w:rsid w:val="008A34FA"/>
    <w:rsid w:val="008A4FC0"/>
    <w:rsid w:val="008B12EC"/>
    <w:rsid w:val="008B14DE"/>
    <w:rsid w:val="008C01F0"/>
    <w:rsid w:val="008C0F01"/>
    <w:rsid w:val="008D35F0"/>
    <w:rsid w:val="008D5FB3"/>
    <w:rsid w:val="008E0B3C"/>
    <w:rsid w:val="008E7656"/>
    <w:rsid w:val="008F6703"/>
    <w:rsid w:val="00903882"/>
    <w:rsid w:val="00910499"/>
    <w:rsid w:val="009136A5"/>
    <w:rsid w:val="009207DD"/>
    <w:rsid w:val="009216BE"/>
    <w:rsid w:val="00922E3E"/>
    <w:rsid w:val="009265E5"/>
    <w:rsid w:val="00936073"/>
    <w:rsid w:val="00942499"/>
    <w:rsid w:val="00951FB2"/>
    <w:rsid w:val="009541C7"/>
    <w:rsid w:val="009645F3"/>
    <w:rsid w:val="009655DC"/>
    <w:rsid w:val="00966B35"/>
    <w:rsid w:val="00970625"/>
    <w:rsid w:val="0097275F"/>
    <w:rsid w:val="00991293"/>
    <w:rsid w:val="00993E60"/>
    <w:rsid w:val="0099562D"/>
    <w:rsid w:val="009A4219"/>
    <w:rsid w:val="009B08E0"/>
    <w:rsid w:val="009B1344"/>
    <w:rsid w:val="009B3D82"/>
    <w:rsid w:val="009C0710"/>
    <w:rsid w:val="009C3E1E"/>
    <w:rsid w:val="009C4C2C"/>
    <w:rsid w:val="009C7A8D"/>
    <w:rsid w:val="009D0D2D"/>
    <w:rsid w:val="009D2434"/>
    <w:rsid w:val="009D37E9"/>
    <w:rsid w:val="009D65CC"/>
    <w:rsid w:val="009D7294"/>
    <w:rsid w:val="009D777B"/>
    <w:rsid w:val="00A018B9"/>
    <w:rsid w:val="00A10935"/>
    <w:rsid w:val="00A12500"/>
    <w:rsid w:val="00A2461E"/>
    <w:rsid w:val="00A33F94"/>
    <w:rsid w:val="00A35D2B"/>
    <w:rsid w:val="00A414DB"/>
    <w:rsid w:val="00A427EB"/>
    <w:rsid w:val="00A4369C"/>
    <w:rsid w:val="00A47C60"/>
    <w:rsid w:val="00A6573C"/>
    <w:rsid w:val="00A70D65"/>
    <w:rsid w:val="00A760D7"/>
    <w:rsid w:val="00A77C52"/>
    <w:rsid w:val="00A77D75"/>
    <w:rsid w:val="00A830C1"/>
    <w:rsid w:val="00A85F5A"/>
    <w:rsid w:val="00A93B3D"/>
    <w:rsid w:val="00A94249"/>
    <w:rsid w:val="00A94991"/>
    <w:rsid w:val="00A95313"/>
    <w:rsid w:val="00A96D39"/>
    <w:rsid w:val="00A97707"/>
    <w:rsid w:val="00AA0ECD"/>
    <w:rsid w:val="00AA31C0"/>
    <w:rsid w:val="00AB2702"/>
    <w:rsid w:val="00AB6A6D"/>
    <w:rsid w:val="00AC05B5"/>
    <w:rsid w:val="00AC2CBD"/>
    <w:rsid w:val="00AD01E1"/>
    <w:rsid w:val="00AD6808"/>
    <w:rsid w:val="00AE3A1A"/>
    <w:rsid w:val="00AF2D96"/>
    <w:rsid w:val="00B00703"/>
    <w:rsid w:val="00B03B68"/>
    <w:rsid w:val="00B10DED"/>
    <w:rsid w:val="00B14A7F"/>
    <w:rsid w:val="00B17AE1"/>
    <w:rsid w:val="00B2519A"/>
    <w:rsid w:val="00B3482A"/>
    <w:rsid w:val="00B35D8E"/>
    <w:rsid w:val="00B47FCF"/>
    <w:rsid w:val="00B53442"/>
    <w:rsid w:val="00B63E83"/>
    <w:rsid w:val="00B70A42"/>
    <w:rsid w:val="00B751AA"/>
    <w:rsid w:val="00B82DED"/>
    <w:rsid w:val="00B93A00"/>
    <w:rsid w:val="00B9439F"/>
    <w:rsid w:val="00BA275F"/>
    <w:rsid w:val="00BA3657"/>
    <w:rsid w:val="00BB245D"/>
    <w:rsid w:val="00BB62F4"/>
    <w:rsid w:val="00BC471B"/>
    <w:rsid w:val="00BD2C44"/>
    <w:rsid w:val="00BD6262"/>
    <w:rsid w:val="00BE58BB"/>
    <w:rsid w:val="00BE6EEF"/>
    <w:rsid w:val="00BF1BAB"/>
    <w:rsid w:val="00BF3E39"/>
    <w:rsid w:val="00BF5892"/>
    <w:rsid w:val="00BF6537"/>
    <w:rsid w:val="00C0195D"/>
    <w:rsid w:val="00C066F0"/>
    <w:rsid w:val="00C2550F"/>
    <w:rsid w:val="00C41864"/>
    <w:rsid w:val="00C524AA"/>
    <w:rsid w:val="00C57F2B"/>
    <w:rsid w:val="00C6185B"/>
    <w:rsid w:val="00C61D11"/>
    <w:rsid w:val="00C72530"/>
    <w:rsid w:val="00C77BE5"/>
    <w:rsid w:val="00C82906"/>
    <w:rsid w:val="00C8337F"/>
    <w:rsid w:val="00C85589"/>
    <w:rsid w:val="00C872C7"/>
    <w:rsid w:val="00C918FE"/>
    <w:rsid w:val="00C94EFC"/>
    <w:rsid w:val="00C95319"/>
    <w:rsid w:val="00C970A3"/>
    <w:rsid w:val="00CA674D"/>
    <w:rsid w:val="00CC09CB"/>
    <w:rsid w:val="00CC1A0C"/>
    <w:rsid w:val="00CC3D1B"/>
    <w:rsid w:val="00CF2CD5"/>
    <w:rsid w:val="00CF3C6E"/>
    <w:rsid w:val="00CF4A2F"/>
    <w:rsid w:val="00D040D0"/>
    <w:rsid w:val="00D070A9"/>
    <w:rsid w:val="00D11C1A"/>
    <w:rsid w:val="00D143A5"/>
    <w:rsid w:val="00D145F7"/>
    <w:rsid w:val="00D15F96"/>
    <w:rsid w:val="00D16546"/>
    <w:rsid w:val="00D207DB"/>
    <w:rsid w:val="00D2602E"/>
    <w:rsid w:val="00D323D9"/>
    <w:rsid w:val="00D333A3"/>
    <w:rsid w:val="00D40A5B"/>
    <w:rsid w:val="00D50084"/>
    <w:rsid w:val="00D5151F"/>
    <w:rsid w:val="00D53451"/>
    <w:rsid w:val="00D57A78"/>
    <w:rsid w:val="00D63F65"/>
    <w:rsid w:val="00D65100"/>
    <w:rsid w:val="00D73CCA"/>
    <w:rsid w:val="00D757F4"/>
    <w:rsid w:val="00D7642B"/>
    <w:rsid w:val="00D80675"/>
    <w:rsid w:val="00D81F0C"/>
    <w:rsid w:val="00D82452"/>
    <w:rsid w:val="00D85A85"/>
    <w:rsid w:val="00D87DB4"/>
    <w:rsid w:val="00D902F1"/>
    <w:rsid w:val="00D911A3"/>
    <w:rsid w:val="00D93B50"/>
    <w:rsid w:val="00DB178B"/>
    <w:rsid w:val="00DB3738"/>
    <w:rsid w:val="00DB3E2D"/>
    <w:rsid w:val="00DB65AD"/>
    <w:rsid w:val="00DB7E94"/>
    <w:rsid w:val="00DC231C"/>
    <w:rsid w:val="00DC2A63"/>
    <w:rsid w:val="00DD3FBB"/>
    <w:rsid w:val="00DD7783"/>
    <w:rsid w:val="00DE7C5A"/>
    <w:rsid w:val="00E02A01"/>
    <w:rsid w:val="00E10A32"/>
    <w:rsid w:val="00E10EA4"/>
    <w:rsid w:val="00E20BAE"/>
    <w:rsid w:val="00E21757"/>
    <w:rsid w:val="00E21948"/>
    <w:rsid w:val="00E225DF"/>
    <w:rsid w:val="00E235ED"/>
    <w:rsid w:val="00E26CDE"/>
    <w:rsid w:val="00E31F13"/>
    <w:rsid w:val="00E35F3D"/>
    <w:rsid w:val="00E373DA"/>
    <w:rsid w:val="00E40173"/>
    <w:rsid w:val="00E45E53"/>
    <w:rsid w:val="00E47744"/>
    <w:rsid w:val="00E56AE9"/>
    <w:rsid w:val="00E65B8B"/>
    <w:rsid w:val="00E72114"/>
    <w:rsid w:val="00E81B9C"/>
    <w:rsid w:val="00E87077"/>
    <w:rsid w:val="00E872EE"/>
    <w:rsid w:val="00E87F02"/>
    <w:rsid w:val="00E90A06"/>
    <w:rsid w:val="00EA132E"/>
    <w:rsid w:val="00EB1EB9"/>
    <w:rsid w:val="00ED178A"/>
    <w:rsid w:val="00ED1DFD"/>
    <w:rsid w:val="00ED765B"/>
    <w:rsid w:val="00EE33FB"/>
    <w:rsid w:val="00EE3745"/>
    <w:rsid w:val="00F01EB0"/>
    <w:rsid w:val="00F10875"/>
    <w:rsid w:val="00F13CF4"/>
    <w:rsid w:val="00F20382"/>
    <w:rsid w:val="00F20A98"/>
    <w:rsid w:val="00F228DA"/>
    <w:rsid w:val="00F259ED"/>
    <w:rsid w:val="00F371FC"/>
    <w:rsid w:val="00F46217"/>
    <w:rsid w:val="00F50BFC"/>
    <w:rsid w:val="00F52C45"/>
    <w:rsid w:val="00F53651"/>
    <w:rsid w:val="00F56171"/>
    <w:rsid w:val="00F56F14"/>
    <w:rsid w:val="00F56FCB"/>
    <w:rsid w:val="00F62E8E"/>
    <w:rsid w:val="00F71518"/>
    <w:rsid w:val="00F76786"/>
    <w:rsid w:val="00F77457"/>
    <w:rsid w:val="00F808E1"/>
    <w:rsid w:val="00F812A7"/>
    <w:rsid w:val="00F85BEC"/>
    <w:rsid w:val="00F92C4D"/>
    <w:rsid w:val="00FA3F55"/>
    <w:rsid w:val="00FA5273"/>
    <w:rsid w:val="00FA5699"/>
    <w:rsid w:val="00FB485F"/>
    <w:rsid w:val="00FB5479"/>
    <w:rsid w:val="00FB7D3C"/>
    <w:rsid w:val="00FC0BD9"/>
    <w:rsid w:val="00FC0F54"/>
    <w:rsid w:val="00FC34E5"/>
    <w:rsid w:val="00FC4FA2"/>
    <w:rsid w:val="00FE020E"/>
    <w:rsid w:val="00FE5BFE"/>
    <w:rsid w:val="00FF3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36BD"/>
  <w15:docId w15:val="{39749184-929D-476F-88D9-F8F6EE5E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3E1E"/>
    <w:rPr>
      <w:rFonts w:ascii="Times New Roman" w:eastAsia="Times New Roman" w:hAnsi="Times New Roman" w:cs="Times New Roman"/>
      <w:sz w:val="24"/>
      <w:szCs w:val="24"/>
      <w:lang w:val="sk-SK" w:eastAsia="sk-SK" w:bidi="ar-SA"/>
    </w:rPr>
  </w:style>
  <w:style w:type="paragraph" w:styleId="Nadpis1">
    <w:name w:val="heading 1"/>
    <w:basedOn w:val="Normlny"/>
    <w:next w:val="Normlny"/>
    <w:link w:val="Nadpis1Char"/>
    <w:uiPriority w:val="9"/>
    <w:qFormat/>
    <w:rsid w:val="00E225DF"/>
    <w:pPr>
      <w:spacing w:before="600" w:line="360" w:lineRule="auto"/>
      <w:outlineLvl w:val="0"/>
    </w:pPr>
    <w:rPr>
      <w:rFonts w:asciiTheme="majorHAnsi" w:eastAsiaTheme="majorEastAsia" w:hAnsiTheme="majorHAnsi" w:cstheme="majorBidi"/>
      <w:b/>
      <w:bCs/>
      <w:i/>
      <w:iCs/>
      <w:sz w:val="32"/>
      <w:szCs w:val="32"/>
    </w:rPr>
  </w:style>
  <w:style w:type="paragraph" w:styleId="Nadpis2">
    <w:name w:val="heading 2"/>
    <w:basedOn w:val="Normlny"/>
    <w:next w:val="Normlny"/>
    <w:link w:val="Nadpis2Char"/>
    <w:uiPriority w:val="9"/>
    <w:unhideWhenUsed/>
    <w:qFormat/>
    <w:rsid w:val="00E225DF"/>
    <w:pPr>
      <w:spacing w:before="320" w:line="360" w:lineRule="auto"/>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unhideWhenUsed/>
    <w:qFormat/>
    <w:rsid w:val="00E225DF"/>
    <w:pPr>
      <w:spacing w:before="320" w:line="360" w:lineRule="auto"/>
      <w:outlineLvl w:val="2"/>
    </w:pPr>
    <w:rPr>
      <w:rFonts w:asciiTheme="majorHAnsi" w:eastAsiaTheme="majorEastAsia" w:hAnsiTheme="majorHAnsi" w:cstheme="majorBidi"/>
      <w:b/>
      <w:bCs/>
      <w:i/>
      <w:iCs/>
      <w:sz w:val="26"/>
      <w:szCs w:val="26"/>
    </w:rPr>
  </w:style>
  <w:style w:type="paragraph" w:styleId="Nadpis4">
    <w:name w:val="heading 4"/>
    <w:basedOn w:val="Normlny"/>
    <w:next w:val="Normlny"/>
    <w:link w:val="Nadpis4Char"/>
    <w:uiPriority w:val="9"/>
    <w:unhideWhenUsed/>
    <w:qFormat/>
    <w:rsid w:val="00E225DF"/>
    <w:pPr>
      <w:spacing w:before="280" w:line="360" w:lineRule="auto"/>
      <w:outlineLvl w:val="3"/>
    </w:pPr>
    <w:rPr>
      <w:rFonts w:asciiTheme="majorHAnsi" w:eastAsiaTheme="majorEastAsia" w:hAnsiTheme="majorHAnsi" w:cstheme="majorBidi"/>
      <w:b/>
      <w:bCs/>
      <w:i/>
      <w:iCs/>
    </w:rPr>
  </w:style>
  <w:style w:type="paragraph" w:styleId="Nadpis5">
    <w:name w:val="heading 5"/>
    <w:basedOn w:val="Normlny"/>
    <w:next w:val="Normlny"/>
    <w:link w:val="Nadpis5Char"/>
    <w:uiPriority w:val="9"/>
    <w:unhideWhenUsed/>
    <w:qFormat/>
    <w:rsid w:val="00E225DF"/>
    <w:pPr>
      <w:spacing w:before="280" w:line="360" w:lineRule="auto"/>
      <w:outlineLvl w:val="4"/>
    </w:pPr>
    <w:rPr>
      <w:rFonts w:asciiTheme="majorHAnsi" w:eastAsiaTheme="majorEastAsia" w:hAnsiTheme="majorHAnsi" w:cstheme="majorBidi"/>
      <w:b/>
      <w:bCs/>
      <w:i/>
      <w:iCs/>
    </w:rPr>
  </w:style>
  <w:style w:type="paragraph" w:styleId="Nadpis6">
    <w:name w:val="heading 6"/>
    <w:basedOn w:val="Normlny"/>
    <w:next w:val="Normlny"/>
    <w:link w:val="Nadpis6Char"/>
    <w:uiPriority w:val="9"/>
    <w:semiHidden/>
    <w:unhideWhenUsed/>
    <w:qFormat/>
    <w:rsid w:val="00E225DF"/>
    <w:pPr>
      <w:spacing w:before="280" w:after="80" w:line="360" w:lineRule="auto"/>
      <w:outlineLvl w:val="5"/>
    </w:pPr>
    <w:rPr>
      <w:rFonts w:asciiTheme="majorHAnsi" w:eastAsiaTheme="majorEastAsia" w:hAnsiTheme="majorHAnsi" w:cstheme="majorBidi"/>
      <w:b/>
      <w:bCs/>
      <w:i/>
      <w:iCs/>
    </w:rPr>
  </w:style>
  <w:style w:type="paragraph" w:styleId="Nadpis7">
    <w:name w:val="heading 7"/>
    <w:basedOn w:val="Normlny"/>
    <w:next w:val="Normlny"/>
    <w:link w:val="Nadpis7Char"/>
    <w:uiPriority w:val="9"/>
    <w:semiHidden/>
    <w:unhideWhenUsed/>
    <w:qFormat/>
    <w:rsid w:val="00E225DF"/>
    <w:pPr>
      <w:spacing w:before="280" w:line="360" w:lineRule="auto"/>
      <w:outlineLvl w:val="6"/>
    </w:pPr>
    <w:rPr>
      <w:rFonts w:asciiTheme="majorHAnsi" w:eastAsiaTheme="majorEastAsia" w:hAnsiTheme="majorHAnsi" w:cstheme="majorBidi"/>
      <w:b/>
      <w:bCs/>
      <w:i/>
      <w:iCs/>
      <w:sz w:val="20"/>
      <w:szCs w:val="20"/>
    </w:rPr>
  </w:style>
  <w:style w:type="paragraph" w:styleId="Nadpis8">
    <w:name w:val="heading 8"/>
    <w:basedOn w:val="Normlny"/>
    <w:next w:val="Normlny"/>
    <w:link w:val="Nadpis8Char"/>
    <w:uiPriority w:val="9"/>
    <w:semiHidden/>
    <w:unhideWhenUsed/>
    <w:qFormat/>
    <w:rsid w:val="00E225DF"/>
    <w:pPr>
      <w:spacing w:before="280" w:line="360" w:lineRule="auto"/>
      <w:outlineLvl w:val="7"/>
    </w:pPr>
    <w:rPr>
      <w:rFonts w:asciiTheme="majorHAnsi" w:eastAsiaTheme="majorEastAsia" w:hAnsiTheme="majorHAnsi" w:cstheme="majorBidi"/>
      <w:b/>
      <w:bCs/>
      <w:i/>
      <w:iCs/>
      <w:sz w:val="18"/>
      <w:szCs w:val="18"/>
    </w:rPr>
  </w:style>
  <w:style w:type="paragraph" w:styleId="Nadpis9">
    <w:name w:val="heading 9"/>
    <w:basedOn w:val="Normlny"/>
    <w:next w:val="Normlny"/>
    <w:link w:val="Nadpis9Char"/>
    <w:uiPriority w:val="9"/>
    <w:semiHidden/>
    <w:unhideWhenUsed/>
    <w:qFormat/>
    <w:rsid w:val="00E225DF"/>
    <w:pPr>
      <w:spacing w:before="280" w:line="360" w:lineRule="auto"/>
      <w:outlineLvl w:val="8"/>
    </w:pPr>
    <w:rPr>
      <w:rFonts w:asciiTheme="majorHAnsi" w:eastAsiaTheme="majorEastAsia" w:hAnsiTheme="majorHAnsi" w:cstheme="majorBidi"/>
      <w:i/>
      <w:i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225DF"/>
    <w:rPr>
      <w:rFonts w:asciiTheme="majorHAnsi" w:eastAsiaTheme="majorEastAsia" w:hAnsiTheme="majorHAnsi" w:cstheme="majorBidi"/>
      <w:b/>
      <w:bCs/>
      <w:i/>
      <w:iCs/>
      <w:sz w:val="32"/>
      <w:szCs w:val="32"/>
    </w:rPr>
  </w:style>
  <w:style w:type="character" w:customStyle="1" w:styleId="Nadpis2Char">
    <w:name w:val="Nadpis 2 Char"/>
    <w:basedOn w:val="Predvolenpsmoodseku"/>
    <w:link w:val="Nadpis2"/>
    <w:uiPriority w:val="9"/>
    <w:rsid w:val="00E225DF"/>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rsid w:val="00E225DF"/>
    <w:rPr>
      <w:rFonts w:asciiTheme="majorHAnsi" w:eastAsiaTheme="majorEastAsia" w:hAnsiTheme="majorHAnsi" w:cstheme="majorBidi"/>
      <w:b/>
      <w:bCs/>
      <w:i/>
      <w:iCs/>
      <w:sz w:val="26"/>
      <w:szCs w:val="26"/>
    </w:rPr>
  </w:style>
  <w:style w:type="character" w:customStyle="1" w:styleId="Nadpis4Char">
    <w:name w:val="Nadpis 4 Char"/>
    <w:basedOn w:val="Predvolenpsmoodseku"/>
    <w:link w:val="Nadpis4"/>
    <w:uiPriority w:val="9"/>
    <w:rsid w:val="00E225DF"/>
    <w:rPr>
      <w:rFonts w:asciiTheme="majorHAnsi" w:eastAsiaTheme="majorEastAsia" w:hAnsiTheme="majorHAnsi" w:cstheme="majorBidi"/>
      <w:b/>
      <w:bCs/>
      <w:i/>
      <w:iCs/>
      <w:sz w:val="24"/>
      <w:szCs w:val="24"/>
    </w:rPr>
  </w:style>
  <w:style w:type="character" w:customStyle="1" w:styleId="Nadpis5Char">
    <w:name w:val="Nadpis 5 Char"/>
    <w:basedOn w:val="Predvolenpsmoodseku"/>
    <w:link w:val="Nadpis5"/>
    <w:uiPriority w:val="9"/>
    <w:rsid w:val="00E225DF"/>
    <w:rPr>
      <w:rFonts w:asciiTheme="majorHAnsi" w:eastAsiaTheme="majorEastAsia" w:hAnsiTheme="majorHAnsi" w:cstheme="majorBidi"/>
      <w:b/>
      <w:bCs/>
      <w:i/>
      <w:iCs/>
    </w:rPr>
  </w:style>
  <w:style w:type="character" w:customStyle="1" w:styleId="Nadpis6Char">
    <w:name w:val="Nadpis 6 Char"/>
    <w:basedOn w:val="Predvolenpsmoodseku"/>
    <w:link w:val="Nadpis6"/>
    <w:uiPriority w:val="9"/>
    <w:semiHidden/>
    <w:rsid w:val="00E225DF"/>
    <w:rPr>
      <w:rFonts w:asciiTheme="majorHAnsi" w:eastAsiaTheme="majorEastAsia" w:hAnsiTheme="majorHAnsi" w:cstheme="majorBidi"/>
      <w:b/>
      <w:bCs/>
      <w:i/>
      <w:iCs/>
    </w:rPr>
  </w:style>
  <w:style w:type="character" w:customStyle="1" w:styleId="Nadpis7Char">
    <w:name w:val="Nadpis 7 Char"/>
    <w:basedOn w:val="Predvolenpsmoodseku"/>
    <w:link w:val="Nadpis7"/>
    <w:uiPriority w:val="9"/>
    <w:semiHidden/>
    <w:rsid w:val="00E225DF"/>
    <w:rPr>
      <w:rFonts w:asciiTheme="majorHAnsi" w:eastAsiaTheme="majorEastAsia" w:hAnsiTheme="majorHAnsi" w:cstheme="majorBidi"/>
      <w:b/>
      <w:bCs/>
      <w:i/>
      <w:iCs/>
      <w:sz w:val="20"/>
      <w:szCs w:val="20"/>
    </w:rPr>
  </w:style>
  <w:style w:type="character" w:customStyle="1" w:styleId="Nadpis8Char">
    <w:name w:val="Nadpis 8 Char"/>
    <w:basedOn w:val="Predvolenpsmoodseku"/>
    <w:link w:val="Nadpis8"/>
    <w:uiPriority w:val="9"/>
    <w:semiHidden/>
    <w:rsid w:val="00E225DF"/>
    <w:rPr>
      <w:rFonts w:asciiTheme="majorHAnsi" w:eastAsiaTheme="majorEastAsia" w:hAnsiTheme="majorHAnsi" w:cstheme="majorBidi"/>
      <w:b/>
      <w:bCs/>
      <w:i/>
      <w:iCs/>
      <w:sz w:val="18"/>
      <w:szCs w:val="18"/>
    </w:rPr>
  </w:style>
  <w:style w:type="character" w:customStyle="1" w:styleId="Nadpis9Char">
    <w:name w:val="Nadpis 9 Char"/>
    <w:basedOn w:val="Predvolenpsmoodseku"/>
    <w:link w:val="Nadpis9"/>
    <w:uiPriority w:val="9"/>
    <w:semiHidden/>
    <w:rsid w:val="00E225DF"/>
    <w:rPr>
      <w:rFonts w:asciiTheme="majorHAnsi" w:eastAsiaTheme="majorEastAsia" w:hAnsiTheme="majorHAnsi" w:cstheme="majorBidi"/>
      <w:i/>
      <w:iCs/>
      <w:sz w:val="18"/>
      <w:szCs w:val="18"/>
    </w:rPr>
  </w:style>
  <w:style w:type="paragraph" w:styleId="Popis">
    <w:name w:val="caption"/>
    <w:aliases w:val="Popiska-Caption"/>
    <w:basedOn w:val="Normlny"/>
    <w:next w:val="Normlny"/>
    <w:unhideWhenUsed/>
    <w:qFormat/>
    <w:rsid w:val="00E225DF"/>
    <w:rPr>
      <w:b/>
      <w:bCs/>
      <w:sz w:val="18"/>
      <w:szCs w:val="18"/>
    </w:rPr>
  </w:style>
  <w:style w:type="paragraph" w:styleId="Nzov">
    <w:name w:val="Title"/>
    <w:basedOn w:val="Normlny"/>
    <w:next w:val="Normlny"/>
    <w:link w:val="NzovChar"/>
    <w:uiPriority w:val="10"/>
    <w:qFormat/>
    <w:rsid w:val="00E225DF"/>
    <w:rPr>
      <w:rFonts w:asciiTheme="majorHAnsi" w:eastAsiaTheme="majorEastAsia" w:hAnsiTheme="majorHAnsi" w:cstheme="majorBidi"/>
      <w:b/>
      <w:bCs/>
      <w:i/>
      <w:iCs/>
      <w:spacing w:val="10"/>
      <w:sz w:val="60"/>
      <w:szCs w:val="60"/>
    </w:rPr>
  </w:style>
  <w:style w:type="character" w:customStyle="1" w:styleId="NzovChar">
    <w:name w:val="Názov Char"/>
    <w:basedOn w:val="Predvolenpsmoodseku"/>
    <w:link w:val="Nzov"/>
    <w:uiPriority w:val="10"/>
    <w:rsid w:val="00E225DF"/>
    <w:rPr>
      <w:rFonts w:asciiTheme="majorHAnsi" w:eastAsiaTheme="majorEastAsia" w:hAnsiTheme="majorHAnsi" w:cstheme="majorBidi"/>
      <w:b/>
      <w:bCs/>
      <w:i/>
      <w:iCs/>
      <w:spacing w:val="10"/>
      <w:sz w:val="60"/>
      <w:szCs w:val="60"/>
    </w:rPr>
  </w:style>
  <w:style w:type="paragraph" w:styleId="Podtitul">
    <w:name w:val="Subtitle"/>
    <w:basedOn w:val="Normlny"/>
    <w:next w:val="Normlny"/>
    <w:link w:val="PodtitulChar"/>
    <w:uiPriority w:val="11"/>
    <w:qFormat/>
    <w:rsid w:val="00E225DF"/>
    <w:pPr>
      <w:spacing w:after="320"/>
      <w:jc w:val="right"/>
    </w:pPr>
    <w:rPr>
      <w:i/>
      <w:iCs/>
      <w:color w:val="808080" w:themeColor="text1" w:themeTint="7F"/>
      <w:spacing w:val="10"/>
    </w:rPr>
  </w:style>
  <w:style w:type="character" w:customStyle="1" w:styleId="PodtitulChar">
    <w:name w:val="Podtitul Char"/>
    <w:basedOn w:val="Predvolenpsmoodseku"/>
    <w:link w:val="Podtitul"/>
    <w:uiPriority w:val="11"/>
    <w:rsid w:val="00E225DF"/>
    <w:rPr>
      <w:i/>
      <w:iCs/>
      <w:color w:val="808080" w:themeColor="text1" w:themeTint="7F"/>
      <w:spacing w:val="10"/>
      <w:sz w:val="24"/>
      <w:szCs w:val="24"/>
    </w:rPr>
  </w:style>
  <w:style w:type="character" w:styleId="Vrazn">
    <w:name w:val="Strong"/>
    <w:basedOn w:val="Predvolenpsmoodseku"/>
    <w:uiPriority w:val="22"/>
    <w:qFormat/>
    <w:rsid w:val="00E225DF"/>
    <w:rPr>
      <w:b/>
      <w:bCs/>
      <w:spacing w:val="0"/>
    </w:rPr>
  </w:style>
  <w:style w:type="character" w:styleId="Zvraznenie">
    <w:name w:val="Emphasis"/>
    <w:uiPriority w:val="20"/>
    <w:qFormat/>
    <w:rsid w:val="00E225DF"/>
    <w:rPr>
      <w:b/>
      <w:bCs/>
      <w:i/>
      <w:iCs/>
      <w:color w:val="auto"/>
    </w:rPr>
  </w:style>
  <w:style w:type="paragraph" w:styleId="Bezriadkovania">
    <w:name w:val="No Spacing"/>
    <w:basedOn w:val="Normlny"/>
    <w:link w:val="BezriadkovaniaChar"/>
    <w:uiPriority w:val="1"/>
    <w:qFormat/>
    <w:rsid w:val="00E225DF"/>
  </w:style>
  <w:style w:type="character" w:customStyle="1" w:styleId="BezriadkovaniaChar">
    <w:name w:val="Bez riadkovania Char"/>
    <w:basedOn w:val="Predvolenpsmoodseku"/>
    <w:link w:val="Bezriadkovania"/>
    <w:uiPriority w:val="1"/>
    <w:rsid w:val="00E225DF"/>
  </w:style>
  <w:style w:type="paragraph" w:styleId="Odsekzoznamu">
    <w:name w:val="List Paragraph"/>
    <w:basedOn w:val="Normlny"/>
    <w:uiPriority w:val="34"/>
    <w:qFormat/>
    <w:rsid w:val="00E225DF"/>
    <w:pPr>
      <w:ind w:left="720"/>
      <w:contextualSpacing/>
    </w:pPr>
  </w:style>
  <w:style w:type="paragraph" w:styleId="Citcia">
    <w:name w:val="Quote"/>
    <w:basedOn w:val="Normlny"/>
    <w:next w:val="Normlny"/>
    <w:link w:val="CitciaChar"/>
    <w:uiPriority w:val="29"/>
    <w:qFormat/>
    <w:rsid w:val="00E225DF"/>
    <w:rPr>
      <w:color w:val="5A5A5A" w:themeColor="text1" w:themeTint="A5"/>
    </w:rPr>
  </w:style>
  <w:style w:type="character" w:customStyle="1" w:styleId="CitciaChar">
    <w:name w:val="Citácia Char"/>
    <w:basedOn w:val="Predvolenpsmoodseku"/>
    <w:link w:val="Citcia"/>
    <w:uiPriority w:val="29"/>
    <w:rsid w:val="00E225DF"/>
    <w:rPr>
      <w:rFonts w:asciiTheme="minorHAnsi"/>
      <w:color w:val="5A5A5A" w:themeColor="text1" w:themeTint="A5"/>
    </w:rPr>
  </w:style>
  <w:style w:type="paragraph" w:styleId="Zvraznencitcia">
    <w:name w:val="Intense Quote"/>
    <w:basedOn w:val="Normlny"/>
    <w:next w:val="Normlny"/>
    <w:link w:val="ZvraznencitciaChar"/>
    <w:uiPriority w:val="30"/>
    <w:qFormat/>
    <w:rsid w:val="00E225DF"/>
    <w:pPr>
      <w:spacing w:before="320" w:after="480"/>
      <w:ind w:left="720" w:right="720"/>
      <w:jc w:val="center"/>
    </w:pPr>
    <w:rPr>
      <w:rFonts w:asciiTheme="majorHAnsi" w:eastAsiaTheme="majorEastAsia" w:hAnsiTheme="majorHAnsi" w:cstheme="majorBidi"/>
      <w:i/>
      <w:iCs/>
      <w:sz w:val="20"/>
      <w:szCs w:val="20"/>
    </w:rPr>
  </w:style>
  <w:style w:type="character" w:customStyle="1" w:styleId="ZvraznencitciaChar">
    <w:name w:val="Zvýraznená citácia Char"/>
    <w:basedOn w:val="Predvolenpsmoodseku"/>
    <w:link w:val="Zvraznencitcia"/>
    <w:uiPriority w:val="30"/>
    <w:rsid w:val="00E225DF"/>
    <w:rPr>
      <w:rFonts w:asciiTheme="majorHAnsi" w:eastAsiaTheme="majorEastAsia" w:hAnsiTheme="majorHAnsi" w:cstheme="majorBidi"/>
      <w:i/>
      <w:iCs/>
      <w:sz w:val="20"/>
      <w:szCs w:val="20"/>
    </w:rPr>
  </w:style>
  <w:style w:type="character" w:styleId="Jemnzvraznenie">
    <w:name w:val="Subtle Emphasis"/>
    <w:uiPriority w:val="19"/>
    <w:qFormat/>
    <w:rsid w:val="00E225DF"/>
    <w:rPr>
      <w:i/>
      <w:iCs/>
      <w:color w:val="5A5A5A" w:themeColor="text1" w:themeTint="A5"/>
    </w:rPr>
  </w:style>
  <w:style w:type="character" w:styleId="Intenzvnezvraznenie">
    <w:name w:val="Intense Emphasis"/>
    <w:uiPriority w:val="21"/>
    <w:qFormat/>
    <w:rsid w:val="00E225DF"/>
    <w:rPr>
      <w:b/>
      <w:bCs/>
      <w:i/>
      <w:iCs/>
      <w:color w:val="auto"/>
      <w:u w:val="single"/>
    </w:rPr>
  </w:style>
  <w:style w:type="character" w:styleId="Jemnodkaz">
    <w:name w:val="Subtle Reference"/>
    <w:uiPriority w:val="31"/>
    <w:qFormat/>
    <w:rsid w:val="00E225DF"/>
    <w:rPr>
      <w:smallCaps/>
    </w:rPr>
  </w:style>
  <w:style w:type="character" w:styleId="Zvraznenodkaz">
    <w:name w:val="Intense Reference"/>
    <w:uiPriority w:val="32"/>
    <w:qFormat/>
    <w:rsid w:val="00E225DF"/>
    <w:rPr>
      <w:b/>
      <w:bCs/>
      <w:smallCaps/>
      <w:color w:val="auto"/>
    </w:rPr>
  </w:style>
  <w:style w:type="character" w:styleId="Nzovknihy">
    <w:name w:val="Book Title"/>
    <w:uiPriority w:val="33"/>
    <w:qFormat/>
    <w:rsid w:val="00E225DF"/>
    <w:rPr>
      <w:rFonts w:asciiTheme="majorHAnsi" w:eastAsiaTheme="majorEastAsia" w:hAnsiTheme="majorHAnsi" w:cstheme="majorBidi"/>
      <w:b/>
      <w:bCs/>
      <w:smallCaps/>
      <w:color w:val="auto"/>
      <w:u w:val="single"/>
    </w:rPr>
  </w:style>
  <w:style w:type="paragraph" w:styleId="Hlavikaobsahu">
    <w:name w:val="TOC Heading"/>
    <w:basedOn w:val="Nadpis1"/>
    <w:next w:val="Normlny"/>
    <w:uiPriority w:val="39"/>
    <w:semiHidden/>
    <w:unhideWhenUsed/>
    <w:qFormat/>
    <w:rsid w:val="00E225DF"/>
    <w:pPr>
      <w:outlineLvl w:val="9"/>
    </w:pPr>
  </w:style>
  <w:style w:type="character" w:styleId="Hypertextovprepojenie">
    <w:name w:val="Hyperlink"/>
    <w:basedOn w:val="Predvolenpsmoodseku"/>
    <w:uiPriority w:val="99"/>
    <w:unhideWhenUsed/>
    <w:rsid w:val="006273E1"/>
    <w:rPr>
      <w:color w:val="0000FF" w:themeColor="hyperlink"/>
      <w:u w:val="single"/>
    </w:rPr>
  </w:style>
  <w:style w:type="paragraph" w:styleId="Hlavika">
    <w:name w:val="header"/>
    <w:basedOn w:val="Normlny"/>
    <w:link w:val="HlavikaChar"/>
    <w:unhideWhenUsed/>
    <w:rsid w:val="00B17AE1"/>
    <w:pPr>
      <w:tabs>
        <w:tab w:val="center" w:pos="4536"/>
        <w:tab w:val="right" w:pos="9072"/>
      </w:tabs>
    </w:pPr>
  </w:style>
  <w:style w:type="character" w:customStyle="1" w:styleId="HlavikaChar">
    <w:name w:val="Hlavička Char"/>
    <w:basedOn w:val="Predvolenpsmoodseku"/>
    <w:link w:val="Hlavika"/>
    <w:rsid w:val="00B17AE1"/>
    <w:rPr>
      <w:rFonts w:ascii="Times New Roman" w:eastAsia="Times New Roman" w:hAnsi="Times New Roman" w:cs="Times New Roman"/>
      <w:sz w:val="24"/>
      <w:szCs w:val="24"/>
      <w:lang w:val="sk-SK" w:eastAsia="sk-SK" w:bidi="ar-SA"/>
    </w:rPr>
  </w:style>
  <w:style w:type="paragraph" w:styleId="Pta">
    <w:name w:val="footer"/>
    <w:basedOn w:val="Normlny"/>
    <w:link w:val="PtaChar"/>
    <w:uiPriority w:val="99"/>
    <w:unhideWhenUsed/>
    <w:rsid w:val="00B17AE1"/>
    <w:pPr>
      <w:tabs>
        <w:tab w:val="center" w:pos="4536"/>
        <w:tab w:val="right" w:pos="9072"/>
      </w:tabs>
    </w:pPr>
  </w:style>
  <w:style w:type="character" w:customStyle="1" w:styleId="PtaChar">
    <w:name w:val="Päta Char"/>
    <w:basedOn w:val="Predvolenpsmoodseku"/>
    <w:link w:val="Pta"/>
    <w:uiPriority w:val="99"/>
    <w:rsid w:val="00B17AE1"/>
    <w:rPr>
      <w:rFonts w:ascii="Times New Roman" w:eastAsia="Times New Roman" w:hAnsi="Times New Roman" w:cs="Times New Roman"/>
      <w:sz w:val="24"/>
      <w:szCs w:val="24"/>
      <w:lang w:val="sk-SK" w:eastAsia="sk-SK" w:bidi="ar-SA"/>
    </w:rPr>
  </w:style>
  <w:style w:type="paragraph" w:styleId="Obsah1">
    <w:name w:val="toc 1"/>
    <w:basedOn w:val="Normlny"/>
    <w:next w:val="Normlny"/>
    <w:autoRedefine/>
    <w:uiPriority w:val="39"/>
    <w:unhideWhenUsed/>
    <w:rsid w:val="00235D39"/>
    <w:pPr>
      <w:spacing w:after="100"/>
    </w:pPr>
  </w:style>
  <w:style w:type="character" w:styleId="Odkaznakomentr">
    <w:name w:val="annotation reference"/>
    <w:basedOn w:val="Predvolenpsmoodseku"/>
    <w:uiPriority w:val="99"/>
    <w:unhideWhenUsed/>
    <w:rsid w:val="00235D39"/>
    <w:rPr>
      <w:sz w:val="16"/>
      <w:szCs w:val="16"/>
    </w:rPr>
  </w:style>
  <w:style w:type="paragraph" w:styleId="Textkomentra">
    <w:name w:val="annotation text"/>
    <w:basedOn w:val="Normlny"/>
    <w:link w:val="TextkomentraChar"/>
    <w:uiPriority w:val="99"/>
    <w:unhideWhenUsed/>
    <w:rsid w:val="00235D39"/>
    <w:rPr>
      <w:sz w:val="20"/>
      <w:szCs w:val="20"/>
    </w:rPr>
  </w:style>
  <w:style w:type="character" w:customStyle="1" w:styleId="TextkomentraChar">
    <w:name w:val="Text komentára Char"/>
    <w:basedOn w:val="Predvolenpsmoodseku"/>
    <w:link w:val="Textkomentra"/>
    <w:uiPriority w:val="99"/>
    <w:rsid w:val="00235D39"/>
    <w:rPr>
      <w:rFonts w:ascii="Times New Roman" w:eastAsia="Times New Roman" w:hAnsi="Times New Roman" w:cs="Times New Roman"/>
      <w:sz w:val="20"/>
      <w:szCs w:val="20"/>
      <w:lang w:val="sk-SK" w:eastAsia="sk-SK" w:bidi="ar-SA"/>
    </w:rPr>
  </w:style>
  <w:style w:type="paragraph" w:styleId="Predmetkomentra">
    <w:name w:val="annotation subject"/>
    <w:basedOn w:val="Textkomentra"/>
    <w:next w:val="Textkomentra"/>
    <w:link w:val="PredmetkomentraChar"/>
    <w:uiPriority w:val="99"/>
    <w:semiHidden/>
    <w:unhideWhenUsed/>
    <w:rsid w:val="00235D39"/>
    <w:rPr>
      <w:b/>
      <w:bCs/>
    </w:rPr>
  </w:style>
  <w:style w:type="character" w:customStyle="1" w:styleId="PredmetkomentraChar">
    <w:name w:val="Predmet komentára Char"/>
    <w:basedOn w:val="TextkomentraChar"/>
    <w:link w:val="Predmetkomentra"/>
    <w:uiPriority w:val="99"/>
    <w:semiHidden/>
    <w:rsid w:val="00235D39"/>
    <w:rPr>
      <w:rFonts w:ascii="Times New Roman" w:eastAsia="Times New Roman" w:hAnsi="Times New Roman" w:cs="Times New Roman"/>
      <w:b/>
      <w:bCs/>
      <w:sz w:val="20"/>
      <w:szCs w:val="20"/>
      <w:lang w:val="sk-SK" w:eastAsia="sk-SK" w:bidi="ar-SA"/>
    </w:rPr>
  </w:style>
  <w:style w:type="paragraph" w:styleId="Textbubliny">
    <w:name w:val="Balloon Text"/>
    <w:basedOn w:val="Normlny"/>
    <w:link w:val="TextbublinyChar"/>
    <w:uiPriority w:val="99"/>
    <w:semiHidden/>
    <w:unhideWhenUsed/>
    <w:rsid w:val="00235D39"/>
    <w:rPr>
      <w:rFonts w:ascii="Tahoma" w:hAnsi="Tahoma" w:cs="Tahoma"/>
      <w:sz w:val="16"/>
      <w:szCs w:val="16"/>
    </w:rPr>
  </w:style>
  <w:style w:type="character" w:customStyle="1" w:styleId="TextbublinyChar">
    <w:name w:val="Text bubliny Char"/>
    <w:basedOn w:val="Predvolenpsmoodseku"/>
    <w:link w:val="Textbubliny"/>
    <w:uiPriority w:val="99"/>
    <w:semiHidden/>
    <w:rsid w:val="00235D39"/>
    <w:rPr>
      <w:rFonts w:ascii="Tahoma" w:eastAsia="Times New Roman" w:hAnsi="Tahoma" w:cs="Tahoma"/>
      <w:sz w:val="16"/>
      <w:szCs w:val="16"/>
      <w:lang w:val="sk-SK" w:eastAsia="sk-SK" w:bidi="ar-SA"/>
    </w:rPr>
  </w:style>
  <w:style w:type="paragraph" w:styleId="Revzia">
    <w:name w:val="Revision"/>
    <w:hidden/>
    <w:uiPriority w:val="99"/>
    <w:semiHidden/>
    <w:rsid w:val="00235D39"/>
    <w:pPr>
      <w:jc w:val="left"/>
    </w:pPr>
    <w:rPr>
      <w:rFonts w:ascii="Times New Roman" w:eastAsia="Times New Roman" w:hAnsi="Times New Roman" w:cs="Times New Roman"/>
      <w:sz w:val="24"/>
      <w:szCs w:val="24"/>
      <w:lang w:val="sk-SK" w:eastAsia="sk-SK" w:bidi="ar-SA"/>
    </w:rPr>
  </w:style>
  <w:style w:type="paragraph" w:styleId="Obsah2">
    <w:name w:val="toc 2"/>
    <w:basedOn w:val="Normlny"/>
    <w:next w:val="Normlny"/>
    <w:autoRedefine/>
    <w:uiPriority w:val="39"/>
    <w:unhideWhenUsed/>
    <w:rsid w:val="00235D39"/>
    <w:pPr>
      <w:spacing w:after="100"/>
      <w:ind w:left="240"/>
    </w:pPr>
  </w:style>
  <w:style w:type="table" w:styleId="Mriekatabuky">
    <w:name w:val="Table Grid"/>
    <w:basedOn w:val="Normlnatabuka"/>
    <w:uiPriority w:val="39"/>
    <w:rsid w:val="00235D39"/>
    <w:pPr>
      <w:spacing w:beforeAutospacing="1" w:afterAutospacing="1"/>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yajntext">
    <w:name w:val="Plain Text"/>
    <w:basedOn w:val="Normlny"/>
    <w:link w:val="ObyajntextChar"/>
    <w:uiPriority w:val="99"/>
    <w:rsid w:val="00235D39"/>
    <w:pPr>
      <w:jc w:val="left"/>
    </w:pPr>
    <w:rPr>
      <w:rFonts w:ascii="Courier New" w:hAnsi="Courier New"/>
      <w:sz w:val="20"/>
      <w:szCs w:val="20"/>
      <w:lang w:eastAsia="cs-CZ"/>
    </w:rPr>
  </w:style>
  <w:style w:type="character" w:customStyle="1" w:styleId="ObyajntextChar">
    <w:name w:val="Obyčajný text Char"/>
    <w:basedOn w:val="Predvolenpsmoodseku"/>
    <w:link w:val="Obyajntext"/>
    <w:uiPriority w:val="99"/>
    <w:rsid w:val="00235D39"/>
    <w:rPr>
      <w:rFonts w:ascii="Courier New" w:eastAsia="Times New Roman" w:hAnsi="Courier New" w:cs="Times New Roman"/>
      <w:sz w:val="20"/>
      <w:szCs w:val="20"/>
      <w:lang w:val="sk-SK" w:eastAsia="cs-CZ" w:bidi="ar-SA"/>
    </w:rPr>
  </w:style>
  <w:style w:type="paragraph" w:styleId="Zkladntext">
    <w:name w:val="Body Text"/>
    <w:basedOn w:val="Normlny"/>
    <w:link w:val="ZkladntextChar1"/>
    <w:rsid w:val="00235D39"/>
    <w:pPr>
      <w:spacing w:after="120"/>
    </w:pPr>
  </w:style>
  <w:style w:type="character" w:customStyle="1" w:styleId="ZkladntextChar">
    <w:name w:val="Základný text Char"/>
    <w:basedOn w:val="Predvolenpsmoodseku"/>
    <w:rsid w:val="00235D39"/>
    <w:rPr>
      <w:rFonts w:ascii="Times New Roman" w:eastAsia="Times New Roman" w:hAnsi="Times New Roman" w:cs="Times New Roman"/>
      <w:sz w:val="24"/>
      <w:szCs w:val="24"/>
      <w:lang w:val="sk-SK" w:eastAsia="sk-SK" w:bidi="ar-SA"/>
    </w:rPr>
  </w:style>
  <w:style w:type="character" w:customStyle="1" w:styleId="ZkladntextChar1">
    <w:name w:val="Základný text Char1"/>
    <w:link w:val="Zkladntext"/>
    <w:uiPriority w:val="99"/>
    <w:semiHidden/>
    <w:rsid w:val="00235D39"/>
    <w:rPr>
      <w:rFonts w:ascii="Times New Roman" w:eastAsia="Times New Roman" w:hAnsi="Times New Roman" w:cs="Times New Roman"/>
      <w:sz w:val="24"/>
      <w:szCs w:val="24"/>
      <w:lang w:val="sk-SK" w:eastAsia="sk-SK" w:bidi="ar-SA"/>
    </w:rPr>
  </w:style>
  <w:style w:type="paragraph" w:styleId="Obsah3">
    <w:name w:val="toc 3"/>
    <w:basedOn w:val="Normlny"/>
    <w:next w:val="Normlny"/>
    <w:autoRedefine/>
    <w:uiPriority w:val="39"/>
    <w:unhideWhenUsed/>
    <w:rsid w:val="00A93B3D"/>
    <w:pPr>
      <w:spacing w:after="100"/>
      <w:ind w:left="480"/>
    </w:pPr>
  </w:style>
  <w:style w:type="paragraph" w:customStyle="1" w:styleId="tl2">
    <w:name w:val="Štýl2"/>
    <w:basedOn w:val="Zkladntext"/>
    <w:rsid w:val="00466B3B"/>
    <w:pPr>
      <w:spacing w:after="0"/>
    </w:pPr>
    <w:rPr>
      <w:rFonts w:ascii="Arial" w:hAnsi="Arial"/>
      <w:szCs w:val="20"/>
    </w:rPr>
  </w:style>
  <w:style w:type="table" w:customStyle="1" w:styleId="Svetlzoznam1">
    <w:name w:val="Svetlý zoznam1"/>
    <w:basedOn w:val="Normlnatabuka"/>
    <w:uiPriority w:val="61"/>
    <w:rsid w:val="00F56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a">
    <w:name w:val="ra"/>
    <w:basedOn w:val="Predvolenpsmoodseku"/>
    <w:rsid w:val="00710891"/>
  </w:style>
  <w:style w:type="paragraph" w:customStyle="1" w:styleId="Default">
    <w:name w:val="Default"/>
    <w:rsid w:val="00775BDF"/>
    <w:pPr>
      <w:autoSpaceDE w:val="0"/>
      <w:autoSpaceDN w:val="0"/>
      <w:adjustRightInd w:val="0"/>
      <w:jc w:val="left"/>
    </w:pPr>
    <w:rPr>
      <w:rFonts w:ascii="Times New Roman" w:hAnsi="Times New Roman" w:cs="Times New Roman"/>
      <w:color w:val="000000"/>
      <w:sz w:val="24"/>
      <w:szCs w:val="24"/>
      <w:lang w:val="sk-SK" w:bidi="ar-SA"/>
    </w:rPr>
  </w:style>
  <w:style w:type="paragraph" w:customStyle="1" w:styleId="Lit">
    <w:name w:val="Lit"/>
    <w:basedOn w:val="Normlny"/>
    <w:link w:val="LitChar1"/>
    <w:rsid w:val="00773C5C"/>
    <w:pPr>
      <w:spacing w:before="120" w:line="240" w:lineRule="exact"/>
      <w:ind w:left="720" w:hanging="720"/>
    </w:pPr>
    <w:rPr>
      <w:rFonts w:ascii="Garamond" w:hAnsi="Garamond"/>
      <w:sz w:val="20"/>
      <w:szCs w:val="20"/>
    </w:rPr>
  </w:style>
  <w:style w:type="character" w:customStyle="1" w:styleId="LitChar1">
    <w:name w:val="Lit Char1"/>
    <w:basedOn w:val="Predvolenpsmoodseku"/>
    <w:link w:val="Lit"/>
    <w:locked/>
    <w:rsid w:val="00773C5C"/>
    <w:rPr>
      <w:rFonts w:ascii="Garamond" w:eastAsia="Times New Roman" w:hAnsi="Garamond" w:cs="Times New Roman"/>
      <w:sz w:val="20"/>
      <w:szCs w:val="20"/>
      <w:lang w:val="sk-SK" w:eastAsia="sk-SK" w:bidi="ar-SA"/>
    </w:rPr>
  </w:style>
  <w:style w:type="character" w:styleId="Zstupntext">
    <w:name w:val="Placeholder Text"/>
    <w:basedOn w:val="Predvolenpsmoodseku"/>
    <w:uiPriority w:val="99"/>
    <w:semiHidden/>
    <w:rsid w:val="00F77457"/>
    <w:rPr>
      <w:color w:val="808080"/>
    </w:rPr>
  </w:style>
  <w:style w:type="character" w:customStyle="1" w:styleId="Zkladntext0">
    <w:name w:val="Základný text_"/>
    <w:basedOn w:val="Predvolenpsmoodseku"/>
    <w:link w:val="Zkladntext1"/>
    <w:rsid w:val="000C59E0"/>
    <w:rPr>
      <w:rFonts w:ascii="Times New Roman" w:eastAsia="Times New Roman" w:hAnsi="Times New Roman" w:cs="Times New Roman"/>
      <w:sz w:val="20"/>
      <w:szCs w:val="20"/>
      <w:shd w:val="clear" w:color="auto" w:fill="FFFFFF"/>
    </w:rPr>
  </w:style>
  <w:style w:type="character" w:customStyle="1" w:styleId="ZkladntextArialUnicodeMS65bodovRiadkovanie0pt">
    <w:name w:val="Základný text + Arial Unicode MS;6;5 bodov;Riadkovanie 0 pt"/>
    <w:basedOn w:val="Zkladntext0"/>
    <w:rsid w:val="000C59E0"/>
    <w:rPr>
      <w:rFonts w:ascii="Arial Unicode MS" w:eastAsia="Arial Unicode MS" w:hAnsi="Arial Unicode MS" w:cs="Arial Unicode MS"/>
      <w:color w:val="000000"/>
      <w:spacing w:val="-5"/>
      <w:w w:val="100"/>
      <w:position w:val="0"/>
      <w:sz w:val="13"/>
      <w:szCs w:val="13"/>
      <w:shd w:val="clear" w:color="auto" w:fill="FFFFFF"/>
      <w:lang w:val="sk-SK" w:eastAsia="sk-SK" w:bidi="sk-SK"/>
    </w:rPr>
  </w:style>
  <w:style w:type="paragraph" w:customStyle="1" w:styleId="Zkladntext1">
    <w:name w:val="Základný text1"/>
    <w:basedOn w:val="Normlny"/>
    <w:link w:val="Zkladntext0"/>
    <w:rsid w:val="000C59E0"/>
    <w:pPr>
      <w:widowControl w:val="0"/>
      <w:shd w:val="clear" w:color="auto" w:fill="FFFFFF"/>
      <w:jc w:val="left"/>
    </w:pPr>
    <w:rPr>
      <w:sz w:val="20"/>
      <w:szCs w:val="20"/>
      <w:lang w:val="en-US" w:eastAsia="en-US" w:bidi="en-US"/>
    </w:rPr>
  </w:style>
  <w:style w:type="paragraph" w:styleId="Zarkazkladnhotextu2">
    <w:name w:val="Body Text Indent 2"/>
    <w:basedOn w:val="Normlny"/>
    <w:link w:val="Zarkazkladnhotextu2Char"/>
    <w:uiPriority w:val="99"/>
    <w:semiHidden/>
    <w:unhideWhenUsed/>
    <w:rsid w:val="00343C7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C76"/>
    <w:rPr>
      <w:rFonts w:ascii="Times New Roman" w:eastAsia="Times New Roman" w:hAnsi="Times New Roman" w:cs="Times New Roman"/>
      <w:sz w:val="24"/>
      <w:szCs w:val="24"/>
      <w:lang w:val="sk-SK" w:eastAsia="sk-SK" w:bidi="ar-SA"/>
    </w:rPr>
  </w:style>
  <w:style w:type="paragraph" w:customStyle="1" w:styleId="tlPodaokraja">
    <w:name w:val="Štýl Podľa okraja"/>
    <w:basedOn w:val="Normlny"/>
    <w:rsid w:val="00DB65AD"/>
    <w:pPr>
      <w:spacing w:line="276" w:lineRule="auto"/>
    </w:pPr>
    <w:rPr>
      <w:sz w:val="22"/>
      <w:szCs w:val="20"/>
      <w:lang w:eastAsia="en-US"/>
    </w:rPr>
  </w:style>
  <w:style w:type="paragraph" w:styleId="Zkladntext2">
    <w:name w:val="Body Text 2"/>
    <w:basedOn w:val="Normlny"/>
    <w:link w:val="Zkladntext2Char"/>
    <w:uiPriority w:val="99"/>
    <w:semiHidden/>
    <w:unhideWhenUsed/>
    <w:rsid w:val="00304320"/>
    <w:pPr>
      <w:spacing w:after="120" w:line="480" w:lineRule="auto"/>
    </w:pPr>
  </w:style>
  <w:style w:type="character" w:customStyle="1" w:styleId="Zkladntext2Char">
    <w:name w:val="Základný text 2 Char"/>
    <w:basedOn w:val="Predvolenpsmoodseku"/>
    <w:link w:val="Zkladntext2"/>
    <w:uiPriority w:val="99"/>
    <w:semiHidden/>
    <w:rsid w:val="00304320"/>
    <w:rPr>
      <w:rFonts w:ascii="Times New Roman" w:eastAsia="Times New Roman" w:hAnsi="Times New Roman" w:cs="Times New Roman"/>
      <w:sz w:val="24"/>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9176">
      <w:bodyDiv w:val="1"/>
      <w:marLeft w:val="0"/>
      <w:marRight w:val="0"/>
      <w:marTop w:val="0"/>
      <w:marBottom w:val="0"/>
      <w:divBdr>
        <w:top w:val="none" w:sz="0" w:space="0" w:color="auto"/>
        <w:left w:val="none" w:sz="0" w:space="0" w:color="auto"/>
        <w:bottom w:val="none" w:sz="0" w:space="0" w:color="auto"/>
        <w:right w:val="none" w:sz="0" w:space="0" w:color="auto"/>
      </w:divBdr>
    </w:div>
    <w:div w:id="1351882500">
      <w:bodyDiv w:val="1"/>
      <w:marLeft w:val="0"/>
      <w:marRight w:val="0"/>
      <w:marTop w:val="0"/>
      <w:marBottom w:val="0"/>
      <w:divBdr>
        <w:top w:val="none" w:sz="0" w:space="0" w:color="auto"/>
        <w:left w:val="none" w:sz="0" w:space="0" w:color="auto"/>
        <w:bottom w:val="none" w:sz="0" w:space="0" w:color="auto"/>
        <w:right w:val="none" w:sz="0" w:space="0" w:color="auto"/>
      </w:divBdr>
      <w:divsChild>
        <w:div w:id="1836799088">
          <w:marLeft w:val="0"/>
          <w:marRight w:val="0"/>
          <w:marTop w:val="0"/>
          <w:marBottom w:val="0"/>
          <w:divBdr>
            <w:top w:val="none" w:sz="0" w:space="0" w:color="auto"/>
            <w:left w:val="none" w:sz="0" w:space="0" w:color="auto"/>
            <w:bottom w:val="none" w:sz="0" w:space="0" w:color="auto"/>
            <w:right w:val="none" w:sz="0" w:space="0" w:color="auto"/>
          </w:divBdr>
        </w:div>
        <w:div w:id="1604338897">
          <w:marLeft w:val="0"/>
          <w:marRight w:val="0"/>
          <w:marTop w:val="0"/>
          <w:marBottom w:val="0"/>
          <w:divBdr>
            <w:top w:val="none" w:sz="0" w:space="0" w:color="auto"/>
            <w:left w:val="none" w:sz="0" w:space="0" w:color="auto"/>
            <w:bottom w:val="none" w:sz="0" w:space="0" w:color="auto"/>
            <w:right w:val="none" w:sz="0" w:space="0" w:color="auto"/>
          </w:divBdr>
        </w:div>
        <w:div w:id="390269440">
          <w:marLeft w:val="0"/>
          <w:marRight w:val="0"/>
          <w:marTop w:val="0"/>
          <w:marBottom w:val="0"/>
          <w:divBdr>
            <w:top w:val="none" w:sz="0" w:space="0" w:color="auto"/>
            <w:left w:val="none" w:sz="0" w:space="0" w:color="auto"/>
            <w:bottom w:val="none" w:sz="0" w:space="0" w:color="auto"/>
            <w:right w:val="none" w:sz="0" w:space="0" w:color="auto"/>
          </w:divBdr>
        </w:div>
        <w:div w:id="851067274">
          <w:marLeft w:val="0"/>
          <w:marRight w:val="0"/>
          <w:marTop w:val="0"/>
          <w:marBottom w:val="0"/>
          <w:divBdr>
            <w:top w:val="none" w:sz="0" w:space="0" w:color="auto"/>
            <w:left w:val="none" w:sz="0" w:space="0" w:color="auto"/>
            <w:bottom w:val="none" w:sz="0" w:space="0" w:color="auto"/>
            <w:right w:val="none" w:sz="0" w:space="0" w:color="auto"/>
          </w:divBdr>
        </w:div>
        <w:div w:id="1628975350">
          <w:marLeft w:val="0"/>
          <w:marRight w:val="0"/>
          <w:marTop w:val="0"/>
          <w:marBottom w:val="0"/>
          <w:divBdr>
            <w:top w:val="none" w:sz="0" w:space="0" w:color="auto"/>
            <w:left w:val="none" w:sz="0" w:space="0" w:color="auto"/>
            <w:bottom w:val="none" w:sz="0" w:space="0" w:color="auto"/>
            <w:right w:val="none" w:sz="0" w:space="0" w:color="auto"/>
          </w:divBdr>
        </w:div>
        <w:div w:id="1878423112">
          <w:marLeft w:val="0"/>
          <w:marRight w:val="0"/>
          <w:marTop w:val="0"/>
          <w:marBottom w:val="0"/>
          <w:divBdr>
            <w:top w:val="none" w:sz="0" w:space="0" w:color="auto"/>
            <w:left w:val="none" w:sz="0" w:space="0" w:color="auto"/>
            <w:bottom w:val="none" w:sz="0" w:space="0" w:color="auto"/>
            <w:right w:val="none" w:sz="0" w:space="0" w:color="auto"/>
          </w:divBdr>
        </w:div>
        <w:div w:id="1151601647">
          <w:marLeft w:val="0"/>
          <w:marRight w:val="0"/>
          <w:marTop w:val="0"/>
          <w:marBottom w:val="0"/>
          <w:divBdr>
            <w:top w:val="none" w:sz="0" w:space="0" w:color="auto"/>
            <w:left w:val="none" w:sz="0" w:space="0" w:color="auto"/>
            <w:bottom w:val="none" w:sz="0" w:space="0" w:color="auto"/>
            <w:right w:val="none" w:sz="0" w:space="0" w:color="auto"/>
          </w:divBdr>
        </w:div>
      </w:divsChild>
    </w:div>
    <w:div w:id="13859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eco.bb@gmail.com" TargetMode="External"/><Relationship Id="rId4" Type="http://schemas.openxmlformats.org/officeDocument/2006/relationships/settings" Target="settings.xml"/><Relationship Id="rId9" Type="http://schemas.openxmlformats.org/officeDocument/2006/relationships/hyperlink" Target="mailto:ineco.bb@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c. ve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8C84-A949-40E8-86A9-156F312B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39</Pages>
  <Words>13472</Words>
  <Characters>76797</Characters>
  <Application>Microsoft Office Word</Application>
  <DocSecurity>0</DocSecurity>
  <Lines>639</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Salva</dc:creator>
  <cp:lastModifiedBy>Patrik Baliak</cp:lastModifiedBy>
  <cp:revision>36</cp:revision>
  <cp:lastPrinted>2014-07-29T10:43:00Z</cp:lastPrinted>
  <dcterms:created xsi:type="dcterms:W3CDTF">2017-01-11T14:20:00Z</dcterms:created>
  <dcterms:modified xsi:type="dcterms:W3CDTF">2020-02-03T08:57:00Z</dcterms:modified>
</cp:coreProperties>
</file>